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20"/>
      </w:pPr>
      <w:r>
        <w:drawing>
          <wp:inline distT="0" distB="0" distL="0" distR="0">
            <wp:extent cx="2857500" cy="5334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2857500" cy="533400"/>
                    </a:xfrm>
                    <a:prstGeom prst="rect">
                      <a:avLst/>
                    </a:prstGeom>
                  </pic:spPr>
                </pic:pic>
              </a:graphicData>
            </a:graphic>
          </wp:inline>
        </w:drawing>
      </w:r>
    </w:p>
    <w:p>
      <w:pPr>
        <w:spacing w:after="120"/>
      </w:pPr>
      <w:r>
        <w:rPr>
          <w:rFonts w:ascii="Arial" w:cs="Arial" w:eastAsia="Arial" w:hAnsi="Arial"/>
          <w:b/>
          <w:bCs/>
          <w:color w:val="E4452B"/>
          <w:spacing w:val="60"/>
          <w:sz w:val="17"/>
          <w:szCs w:val="17"/>
        </w:rPr>
        <w:t xml:space="preserve">KONZEPTPAPIER · VERSION 4</w:t>
      </w:r>
    </w:p>
    <w:p>
      <w:pPr>
        <w:spacing w:after="100"/>
      </w:pPr>
      <w:r>
        <w:rPr>
          <w:rFonts w:ascii="Arial" w:cs="Arial" w:eastAsia="Arial" w:hAnsi="Arial"/>
          <w:b/>
          <w:bCs/>
          <w:color w:val="15171A"/>
          <w:sz w:val="56"/>
          <w:szCs w:val="56"/>
        </w:rPr>
        <w:t xml:space="preserve">Der Knotenpunkt</w:t>
      </w:r>
    </w:p>
    <w:p>
      <w:pPr>
        <w:spacing w:after="300"/>
      </w:pPr>
      <w:r>
        <w:rPr>
          <w:rFonts w:ascii="Arial" w:cs="Arial" w:eastAsia="Arial" w:hAnsi="Arial"/>
          <w:color w:val="7A7F85"/>
          <w:sz w:val="24"/>
          <w:szCs w:val="24"/>
        </w:rPr>
        <w:t xml:space="preserve">ROBANTIS Heidelberg verbindet Gesellschaft, Unternehmen, Forschung, Lehre und Technik an einem Ort – und macht gesellschaftlichen Wandel zum profitablen Geschäftsmodell.</w:t>
      </w:r>
    </w:p>
    <w:p>
      <w:pPr>
        <w:pBdr>
          <w:bottom w:val="single" w:color="E2E2DE" w:sz="6" w:space="2"/>
        </w:pBdr>
        <w:spacing w:after="120" w:before="60"/>
      </w:pPr>
      <w:r>
        <w:rPr>
          <w:rFonts w:ascii="Arial" w:cs="Arial" w:eastAsia="Arial" w:hAnsi="Arial"/>
          <w:b w:val="false"/>
          <w:bCs w:val="false"/>
          <w:i w:val="false"/>
          <w:iCs w:val="false"/>
          <w:color w:val="1A1A1A"/>
          <w:sz w:val="20"/>
          <w:szCs w:val="20"/>
        </w:rPr>
        <w:t xml:space="preserve"/>
      </w:r>
    </w:p>
    <w:p>
      <w:pPr>
        <w:spacing w:after="60"/>
      </w:pPr>
      <w:r>
        <w:rPr>
          <w:rFonts w:ascii="Arial" w:cs="Arial" w:eastAsia="Arial" w:hAnsi="Arial"/>
          <w:color w:val="7A7F85"/>
          <w:sz w:val="17"/>
          <w:szCs w:val="17"/>
        </w:rPr>
        <w:t xml:space="preserve">Für Partner, Hersteller, Kommunen, Bildungsträger, Forschungseinrichtungen und Investor:innen · Stand: August 2026 · Ein Projekt der dcyphr.® GmbH</w:t>
      </w:r>
    </w:p>
    <w:p>
      <w:pPr>
        <w:spacing w:after="110" w:line="280"/>
      </w:pPr>
      <w:r>
        <w:rPr>
          <w:rFonts w:ascii="Arial" w:cs="Arial" w:eastAsia="Arial" w:hAnsi="Arial"/>
          <w:b w:val="false"/>
          <w:bCs w:val="false"/>
          <w:i w:val="false"/>
          <w:iCs w:val="false"/>
          <w:color w:val="1A1A1A"/>
          <w:sz w:val="20"/>
          <w:szCs w:val="20"/>
        </w:rPr>
        <w:t xml:space="preserve"/>
      </w:r>
    </w:p>
    <w:tbl>
      <w:tblPr>
        <w:tblW w:type="dxa" w:w="9746"/>
        <w:tblBorders>
          <w:top w:val="none" w:color="FFFFFF" w:sz="0"/>
          <w:left w:val="none" w:color="FFFFFF" w:sz="0"/>
          <w:bottom w:val="none" w:color="FFFFFF" w:sz="0"/>
          <w:right w:val="none" w:color="FFFFFF" w:sz="0"/>
          <w:insideH w:val="single" w:color="auto" w:sz="4"/>
          <w:insideV w:val="single" w:color="auto" w:sz="4"/>
        </w:tblBorders>
        <w:tblLayout w:type="fixed"/>
      </w:tblPr>
      <w:tblGrid>
        <w:gridCol w:w="2436"/>
        <w:gridCol w:w="2436"/>
        <w:gridCol w:w="2436"/>
        <w:gridCol w:w="2438"/>
      </w:tblGrid>
      <w:tr>
        <w:tc>
          <w:tcPr>
            <w:tcW w:type="dxa" w:w="2436"/>
            <w:tcBorders>
              <w:top w:val="none" w:color="FFFFFF" w:sz="0"/>
              <w:left w:val="none" w:color="FFFFFF" w:sz="0"/>
              <w:bottom w:val="none" w:color="FFFFFF" w:sz="0"/>
              <w:right w:val="single" w:color="FFFFFF" w:sz="10"/>
            </w:tcBorders>
            <w:shd w:fill="15171A" w:color="auto" w:val="clear"/>
            <w:tcMar>
              <w:top w:type="dxa" w:w="170"/>
              <w:left w:type="dxa" w:w="140"/>
              <w:bottom w:type="dxa" w:w="170"/>
              <w:right w:type="dxa" w:w="140"/>
            </w:tcMar>
          </w:tcPr>
          <w:p>
            <w:pPr>
              <w:spacing w:after="30"/>
            </w:pPr>
            <w:r>
              <w:rPr>
                <w:rFonts w:ascii="Arial" w:cs="Arial" w:eastAsia="Arial" w:hAnsi="Arial"/>
                <w:b/>
                <w:bCs/>
                <w:color w:val="E4452B"/>
                <w:sz w:val="30"/>
                <w:szCs w:val="30"/>
              </w:rPr>
              <w:t xml:space="preserve">5</w:t>
            </w:r>
          </w:p>
          <w:p>
            <w:r>
              <w:rPr>
                <w:rFonts w:ascii="Arial" w:cs="Arial" w:eastAsia="Arial" w:hAnsi="Arial"/>
                <w:color w:val="D8E2EA"/>
                <w:sz w:val="15"/>
                <w:szCs w:val="15"/>
              </w:rPr>
              <w:t xml:space="preserve">Felder, die ROBANTIS
an einem Ort verbindet</w:t>
            </w:r>
          </w:p>
        </w:tc>
        <w:tc>
          <w:tcPr>
            <w:tcW w:type="dxa" w:w="2436"/>
            <w:tcBorders>
              <w:top w:val="none" w:color="FFFFFF" w:sz="0"/>
              <w:left w:val="none" w:color="FFFFFF" w:sz="0"/>
              <w:bottom w:val="none" w:color="FFFFFF" w:sz="0"/>
              <w:right w:val="single" w:color="FFFFFF" w:sz="10"/>
            </w:tcBorders>
            <w:shd w:fill="15171A" w:color="auto" w:val="clear"/>
            <w:tcMar>
              <w:top w:type="dxa" w:w="170"/>
              <w:left w:type="dxa" w:w="140"/>
              <w:bottom w:type="dxa" w:w="170"/>
              <w:right w:type="dxa" w:w="140"/>
            </w:tcMar>
          </w:tcPr>
          <w:p>
            <w:pPr>
              <w:spacing w:after="30"/>
            </w:pPr>
            <w:r>
              <w:rPr>
                <w:rFonts w:ascii="Arial" w:cs="Arial" w:eastAsia="Arial" w:hAnsi="Arial"/>
                <w:b/>
                <w:bCs/>
                <w:color w:val="E4452B"/>
                <w:sz w:val="30"/>
                <w:szCs w:val="30"/>
              </w:rPr>
              <w:t xml:space="preserve">41 %</w:t>
            </w:r>
          </w:p>
          <w:p>
            <w:r>
              <w:rPr>
                <w:rFonts w:ascii="Arial" w:cs="Arial" w:eastAsia="Arial" w:hAnsi="Arial"/>
                <w:color w:val="D8E2EA"/>
                <w:sz w:val="15"/>
                <w:szCs w:val="15"/>
              </w:rPr>
              <w:t xml:space="preserve">der deutschen Unternehmen
nutzen KI aktiv</w:t>
            </w:r>
          </w:p>
        </w:tc>
        <w:tc>
          <w:tcPr>
            <w:tcW w:type="dxa" w:w="2436"/>
            <w:tcBorders>
              <w:top w:val="none" w:color="FFFFFF" w:sz="0"/>
              <w:left w:val="none" w:color="FFFFFF" w:sz="0"/>
              <w:bottom w:val="none" w:color="FFFFFF" w:sz="0"/>
              <w:right w:val="single" w:color="FFFFFF" w:sz="10"/>
            </w:tcBorders>
            <w:shd w:fill="15171A" w:color="auto" w:val="clear"/>
            <w:tcMar>
              <w:top w:type="dxa" w:w="170"/>
              <w:left w:type="dxa" w:w="140"/>
              <w:bottom w:type="dxa" w:w="170"/>
              <w:right w:type="dxa" w:w="140"/>
            </w:tcMar>
          </w:tcPr>
          <w:p>
            <w:pPr>
              <w:spacing w:after="30"/>
            </w:pPr>
            <w:r>
              <w:rPr>
                <w:rFonts w:ascii="Arial" w:cs="Arial" w:eastAsia="Arial" w:hAnsi="Arial"/>
                <w:b/>
                <w:bCs/>
                <w:color w:val="E4452B"/>
                <w:sz w:val="30"/>
                <w:szCs w:val="30"/>
              </w:rPr>
              <w:t xml:space="preserve">21 %</w:t>
            </w:r>
          </w:p>
          <w:p>
            <w:r>
              <w:rPr>
                <w:rFonts w:ascii="Arial" w:cs="Arial" w:eastAsia="Arial" w:hAnsi="Arial"/>
                <w:color w:val="D8E2EA"/>
                <w:sz w:val="15"/>
                <w:szCs w:val="15"/>
              </w:rPr>
              <w:t xml:space="preserve">haben dafür eine
formale Strategie</w:t>
            </w:r>
          </w:p>
        </w:tc>
        <w:tc>
          <w:tcPr>
            <w:tcW w:type="dxa" w:w="2438"/>
            <w:tcBorders>
              <w:top w:val="none" w:color="FFFFFF" w:sz="0"/>
              <w:left w:val="none" w:color="FFFFFF" w:sz="0"/>
              <w:bottom w:val="none" w:color="FFFFFF" w:sz="0"/>
              <w:right w:val="none" w:color="FFFFFF" w:sz="0"/>
            </w:tcBorders>
            <w:shd w:fill="15171A" w:color="auto" w:val="clear"/>
            <w:tcMar>
              <w:top w:type="dxa" w:w="170"/>
              <w:left w:type="dxa" w:w="140"/>
              <w:bottom w:type="dxa" w:w="170"/>
              <w:right w:type="dxa" w:w="140"/>
            </w:tcMar>
          </w:tcPr>
          <w:p>
            <w:pPr>
              <w:spacing w:after="30"/>
            </w:pPr>
            <w:r>
              <w:rPr>
                <w:rFonts w:ascii="Arial" w:cs="Arial" w:eastAsia="Arial" w:hAnsi="Arial"/>
                <w:b/>
                <w:bCs/>
                <w:color w:val="E4452B"/>
                <w:sz w:val="30"/>
                <w:szCs w:val="30"/>
              </w:rPr>
              <w:t xml:space="preserve">160.000</w:t>
            </w:r>
          </w:p>
          <w:p>
            <w:r>
              <w:rPr>
                <w:rFonts w:ascii="Arial" w:cs="Arial" w:eastAsia="Arial" w:hAnsi="Arial"/>
                <w:color w:val="D8E2EA"/>
                <w:sz w:val="15"/>
                <w:szCs w:val="15"/>
              </w:rPr>
              <w:t xml:space="preserve">Unternehmen im Einzugs-
gebiet Rhein-Neckar</w:t>
            </w:r>
          </w:p>
        </w:tc>
      </w:tr>
    </w:tbl>
    <w:p>
      <w:pPr>
        <w:spacing w:after="110" w:line="280"/>
      </w:pPr>
      <w:r>
        <w:rPr>
          <w:rFonts w:ascii="Arial" w:cs="Arial" w:eastAsia="Arial" w:hAnsi="Arial"/>
          <w:b w:val="false"/>
          <w:bCs w:val="false"/>
          <w:i w:val="false"/>
          <w:iCs w:val="false"/>
          <w:color w:val="1A1A1A"/>
          <w:sz w:val="20"/>
          <w:szCs w:val="20"/>
        </w:rPr>
        <w:t xml:space="preserve"/>
      </w:r>
    </w:p>
    <w:p>
      <w:pPr>
        <w:spacing w:after="110" w:line="280"/>
      </w:pPr>
      <w:r>
        <w:rPr>
          <w:rFonts w:ascii="Arial" w:cs="Arial" w:eastAsia="Arial" w:hAnsi="Arial"/>
          <w:b w:val="false"/>
          <w:bCs w:val="false"/>
          <w:i/>
          <w:iCs/>
          <w:color w:val="7A7F85"/>
          <w:sz w:val="16"/>
          <w:szCs w:val="16"/>
        </w:rPr>
        <w:t xml:space="preserve">Quellen zu allen extern belegten Zahlen: Kapitel 12. Alle Mengen-, Preis- und Wirkungsannahmen sind Planungswerte des Gründerteams, keine Prognose und keine Zusage.</w:t>
      </w:r>
    </w:p>
    <w:p>
      <w:r>
        <w:br w:type="page"/>
      </w:r>
    </w:p>
    <w:p>
      <w:pPr>
        <w:pStyle w:val="Heading1"/>
        <w:pBdr>
          <w:bottom w:val="single" w:color="E4452B" w:sz="6" w:space="7"/>
        </w:pBdr>
        <w:spacing w:after="60" w:before="380"/>
      </w:pPr>
      <w:r>
        <w:rPr>
          <w:rFonts w:ascii="Arial" w:cs="Arial" w:eastAsia="Arial" w:hAnsi="Arial"/>
          <w:b/>
          <w:bCs/>
          <w:color w:val="15171A"/>
          <w:sz w:val="30"/>
          <w:szCs w:val="30"/>
        </w:rPr>
        <w:t xml:space="preserve">1. Kurzfassung</w:t>
      </w:r>
    </w:p>
    <w:p>
      <w:pPr>
        <w:spacing w:after="200" w:line="300"/>
      </w:pPr>
      <w:r>
        <w:rPr>
          <w:rFonts w:ascii="Arial" w:cs="Arial" w:eastAsia="Arial" w:hAnsi="Arial"/>
          <w:color w:val="15171A"/>
          <w:sz w:val="22"/>
          <w:szCs w:val="22"/>
        </w:rPr>
        <w:t xml:space="preserve">ROBANTIS Heidelberg ist ein stationäres Robotic &amp; AI Center. Der eigentliche Gegenstand des Unternehmens ist aber nicht die Fläche, sondern das, was auf ihr zusammenkommt: fünf gesellschaftliche Felder, die in Deutschland weitgehend aneinander vorbei arbeiten.</w:t>
      </w:r>
    </w:p>
    <w:p>
      <w:pPr>
        <w:spacing w:after="110" w:line="280"/>
      </w:pPr>
      <w:r>
        <w:rPr>
          <w:rFonts w:ascii="Arial" w:cs="Arial" w:eastAsia="Arial" w:hAnsi="Arial"/>
          <w:b w:val="false"/>
          <w:bCs w:val="false"/>
          <w:i w:val="false"/>
          <w:iCs w:val="false"/>
          <w:color w:val="1A1A1A"/>
          <w:sz w:val="20"/>
          <w:szCs w:val="20"/>
        </w:rPr>
        <w:t xml:space="preserve">Unternehmen wissen, dass sie automatisieren müssen, und wissen nicht, wo sie anfangen. Forschung produziert Erkenntnisse, die den Mittelstand nicht erreichen. Schulen sollen Zukunftskompetenz vermitteln, ohne die Technologie je gesehen zu haben. Kommunen sollen Bürgerfragen zu KI beantworten, ohne eigene Fachabteilung. Hersteller haben Produkte, aber keinen Ort, an dem Menschen ihnen begegnen.</w:t>
      </w:r>
    </w:p>
    <w:p>
      <w:pPr>
        <w:spacing w:after="110" w:line="280"/>
      </w:pPr>
      <w:r>
        <w:rPr>
          <w:rFonts w:ascii="Arial" w:cs="Arial" w:eastAsia="Arial" w:hAnsi="Arial"/>
          <w:b w:val="false"/>
          <w:bCs w:val="false"/>
          <w:i w:val="false"/>
          <w:iCs w:val="false"/>
          <w:color w:val="1A1A1A"/>
          <w:sz w:val="20"/>
          <w:szCs w:val="20"/>
        </w:rPr>
        <w:t xml:space="preserve">ROBANTIS ist der Knotenpunkt zwischen diesen fünf Feldern. Es ist ein Ort, an dem man einen Roboter anfassen, einen AI Agent auf dem eigenen Laptop einrichten lassen, eine Schulklasse unterrichten, eine Bürgerfrage stellen und einen Herstellervertrag schließen kann – am selben Tag, in denselben Räumen.</w:t>
      </w:r>
    </w:p>
    <w:tbl>
      <w:tblPr>
        <w:tblW w:type="dxa" w:w="9746"/>
        <w:tblBorders>
          <w:top w:val="none" w:color="FFFFFF" w:sz="0"/>
          <w:left w:val="single" w:color="E4452B" w:sz="12"/>
          <w:bottom w:val="none" w:color="FFFFFF" w:sz="0"/>
          <w:right w:val="none" w:color="FFFFFF" w:sz="0"/>
          <w:insideH w:val="none" w:color="FFFFFF" w:sz="0"/>
          <w:insideV w:val="none" w:color="FFFFFF" w:sz="0"/>
        </w:tblBorders>
        <w:tblLayout w:type="fixed"/>
      </w:tblPr>
      <w:tblGrid>
        <w:gridCol w:w="9746"/>
      </w:tblGrid>
      <w:tr>
        <w:tc>
          <w:tcPr>
            <w:tcW w:type="dxa" w:w="9746"/>
            <w:shd w:fill="F4F4F1" w:color="auto" w:val="clear"/>
            <w:tcMar>
              <w:top w:type="dxa" w:w="160"/>
              <w:left w:type="dxa" w:w="200"/>
              <w:bottom w:type="dxa" w:w="160"/>
              <w:right w:type="dxa" w:w="200"/>
            </w:tcMar>
          </w:tcPr>
          <w:p>
            <w:pPr>
              <w:spacing w:after="60"/>
            </w:pPr>
            <w:r>
              <w:rPr>
                <w:rFonts w:ascii="Arial" w:cs="Arial" w:eastAsia="Arial" w:hAnsi="Arial"/>
                <w:b/>
                <w:bCs/>
                <w:color w:val="15171A"/>
                <w:sz w:val="20"/>
                <w:szCs w:val="20"/>
              </w:rPr>
              <w:t xml:space="preserve">Die zentrale These dieses Papiers</w:t>
            </w:r>
          </w:p>
          <w:p>
            <w:pPr>
              <w:spacing w:after="50" w:line="270"/>
            </w:pPr>
            <w:r>
              <w:rPr>
                <w:rFonts w:ascii="Arial" w:cs="Arial" w:eastAsia="Arial" w:hAnsi="Arial"/>
                <w:b w:val="false"/>
                <w:bCs w:val="false"/>
                <w:i w:val="false"/>
                <w:iCs w:val="false"/>
                <w:color w:val="1A1A1A"/>
                <w:sz w:val="19"/>
                <w:szCs w:val="19"/>
              </w:rPr>
              <w:t xml:space="preserve">Der gesellschaftliche Auftrag ist bei ROBANTIS keine Kostenstelle, die aus dem Gewinn quersubventioniert wird.</w:t>
            </w:r>
          </w:p>
          <w:p>
            <w:pPr>
              <w:spacing w:after="50" w:line="270"/>
            </w:pPr>
            <w:r>
              <w:rPr>
                <w:rFonts w:ascii="Arial" w:cs="Arial" w:eastAsia="Arial" w:hAnsi="Arial"/>
                <w:b w:val="false"/>
                <w:bCs w:val="false"/>
                <w:i w:val="false"/>
                <w:iCs w:val="false"/>
                <w:color w:val="1A1A1A"/>
                <w:sz w:val="19"/>
                <w:szCs w:val="19"/>
              </w:rPr>
              <w:t xml:space="preserve">Er ist der Vertriebskanal. Jedes der fünf Felder senkt die Kundengewinnungskosten der anderen vier. Wie dieser Mechanismus funktioniert, beschreibt Kapitel 4.</w:t>
            </w:r>
          </w:p>
          <w:p>
            <w:pPr>
              <w:spacing w:after="50" w:line="270"/>
            </w:pPr>
            <w:r>
              <w:rPr>
                <w:rFonts w:ascii="Arial" w:cs="Arial" w:eastAsia="Arial" w:hAnsi="Arial"/>
                <w:b w:val="false"/>
                <w:bCs w:val="false"/>
                <w:i w:val="false"/>
                <w:iCs w:val="false"/>
                <w:color w:val="1A1A1A"/>
                <w:sz w:val="19"/>
                <w:szCs w:val="19"/>
              </w:rPr>
              <w:t xml:space="preserve">Wer nur den Showroom baut, verkauft Geräte. Wer den Knotenpunkt baut, wird zur regionalen Infrastruktur – und die lässt sich nicht kopieren.</w:t>
            </w:r>
          </w:p>
        </w:tc>
      </w:tr>
    </w:tbl>
    <w:p>
      <w:pPr>
        <w:spacing w:after="110" w:line="280"/>
      </w:pPr>
      <w:r>
        <w:rPr>
          <w:rFonts w:ascii="Arial" w:cs="Arial" w:eastAsia="Arial" w:hAnsi="Arial"/>
          <w:b w:val="false"/>
          <w:bCs w:val="false"/>
          <w:i w:val="false"/>
          <w:iCs w:val="false"/>
          <w:color w:val="1A1A1A"/>
          <w:sz w:val="20"/>
          <w:szCs w:val="20"/>
        </w:rPr>
        <w:t xml:space="preserve"/>
      </w:r>
    </w:p>
    <w:p>
      <w:pPr>
        <w:spacing w:after="110" w:line="280"/>
      </w:pPr>
      <w:r>
        <w:rPr>
          <w:rFonts w:ascii="Arial" w:cs="Arial" w:eastAsia="Arial" w:hAnsi="Arial"/>
          <w:b/>
          <w:bCs/>
          <w:i w:val="false"/>
          <w:iCs w:val="false"/>
          <w:color w:val="1A1A1A"/>
          <w:sz w:val="20"/>
          <w:szCs w:val="20"/>
        </w:rPr>
        <w:t xml:space="preserve">Was ROBANTIS konkret tut: </w:t>
      </w:r>
      <w:r>
        <w:rPr>
          <w:rFonts w:ascii="Arial" w:cs="Arial" w:eastAsia="Arial" w:hAnsi="Arial"/>
          <w:b w:val="false"/>
          <w:bCs w:val="false"/>
          <w:i w:val="false"/>
          <w:iCs w:val="false"/>
          <w:color w:val="1A1A1A"/>
          <w:sz w:val="20"/>
          <w:szCs w:val="20"/>
        </w:rPr>
        <w:t xml:space="preserve">Roboter erlebbar machen und verkaufen. AI Agents und Automatisierungen vor Ort einrichten. Prozesse analysieren und implementieren. Herstellern einen regionalen Service- und Erlebnispunkt geben. Schulklassen, Lehrkräfte und Bürger:innen ausbilden – stationär und mobil. Kommunen als Kompetenzpartner zur Seite stehen. Und den kritischen Dialog über Ethik, Recht, Arbeit und Cybersicherheit moderieren, statt ihn zu vermeiden.</w:t>
      </w:r>
    </w:p>
    <w:p>
      <w:pPr>
        <w:pStyle w:val="Heading1"/>
        <w:pBdr>
          <w:bottom w:val="single" w:color="E4452B" w:sz="6" w:space="7"/>
        </w:pBdr>
        <w:spacing w:after="60" w:before="380"/>
      </w:pPr>
      <w:r>
        <w:rPr>
          <w:rFonts w:ascii="Arial" w:cs="Arial" w:eastAsia="Arial" w:hAnsi="Arial"/>
          <w:b/>
          <w:bCs/>
          <w:color w:val="15171A"/>
          <w:sz w:val="30"/>
          <w:szCs w:val="30"/>
        </w:rPr>
        <w:t xml:space="preserve">2. Das Problem: fünf Felder, die nicht miteinander sprechen</w:t>
      </w:r>
    </w:p>
    <w:p>
      <w:pPr>
        <w:spacing w:after="110" w:line="280"/>
      </w:pPr>
      <w:r>
        <w:rPr>
          <w:rFonts w:ascii="Arial" w:cs="Arial" w:eastAsia="Arial" w:hAnsi="Arial"/>
          <w:b w:val="false"/>
          <w:bCs w:val="false"/>
          <w:i w:val="false"/>
          <w:iCs w:val="false"/>
          <w:color w:val="1A1A1A"/>
          <w:sz w:val="20"/>
          <w:szCs w:val="20"/>
        </w:rPr>
        <w:t xml:space="preserve">Die Ausgangslage ist nicht Technologiemangel. Sie ist Übersetzungsmangel. Fünf Gruppen haben jeweils ein reales Problem, und keine kann es allein lösen.</w:t>
      </w:r>
    </w:p>
    <w:tbl>
      <w:tblPr>
        <w:tblW w:type="dxa" w:w="974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559"/>
        <w:gridCol w:w="4678"/>
        <w:gridCol w:w="3509"/>
      </w:tblGrid>
      <w:tr>
        <w:trPr>
          <w:tblHeader/>
        </w:trPr>
        <w:tc>
          <w:tcPr>
            <w:tcW w:type="dxa" w:w="1559"/>
            <w:tcBorders>
              <w:top w:val="none" w:color="FFFFFF" w:sz="0"/>
              <w:left w:val="none" w:color="FFFFFF" w:sz="0"/>
              <w:bottom w:val="single" w:color="E2E2DE" w:sz="4"/>
              <w:right w:val="none" w:color="FFFFFF" w:sz="0"/>
            </w:tcBorders>
            <w:shd w:fill="15171A" w:color="auto" w:val="clear"/>
            <w:tcMar>
              <w:top w:type="dxa" w:w="90"/>
              <w:left w:type="dxa" w:w="130"/>
              <w:bottom w:type="dxa" w:w="90"/>
              <w:right w:type="dxa" w:w="130"/>
            </w:tcMar>
          </w:tcPr>
          <w:p>
            <w:pPr>
              <w:jc w:val="left"/>
            </w:pPr>
            <w:r>
              <w:rPr>
                <w:rFonts w:ascii="Arial" w:cs="Arial" w:eastAsia="Arial" w:hAnsi="Arial"/>
                <w:b/>
                <w:bCs/>
                <w:color w:val="FFFFFF"/>
                <w:sz w:val="18"/>
                <w:szCs w:val="18"/>
              </w:rPr>
              <w:t xml:space="preserve">Feld</w:t>
            </w:r>
          </w:p>
        </w:tc>
        <w:tc>
          <w:tcPr>
            <w:tcW w:type="dxa" w:w="4678"/>
            <w:tcBorders>
              <w:top w:val="none" w:color="FFFFFF" w:sz="0"/>
              <w:left w:val="none" w:color="FFFFFF" w:sz="0"/>
              <w:bottom w:val="single" w:color="E2E2DE" w:sz="4"/>
              <w:right w:val="none" w:color="FFFFFF" w:sz="0"/>
            </w:tcBorders>
            <w:shd w:fill="15171A" w:color="auto" w:val="clear"/>
            <w:tcMar>
              <w:top w:type="dxa" w:w="90"/>
              <w:left w:type="dxa" w:w="130"/>
              <w:bottom w:type="dxa" w:w="90"/>
              <w:right w:type="dxa" w:w="130"/>
            </w:tcMar>
          </w:tcPr>
          <w:p>
            <w:pPr>
              <w:jc w:val="left"/>
            </w:pPr>
            <w:r>
              <w:rPr>
                <w:rFonts w:ascii="Arial" w:cs="Arial" w:eastAsia="Arial" w:hAnsi="Arial"/>
                <w:b/>
                <w:bCs/>
                <w:color w:val="FFFFFF"/>
                <w:sz w:val="18"/>
                <w:szCs w:val="18"/>
              </w:rPr>
              <w:t xml:space="preserve">Das reale Problem</w:t>
            </w:r>
          </w:p>
        </w:tc>
        <w:tc>
          <w:tcPr>
            <w:tcW w:type="dxa" w:w="3509"/>
            <w:tcBorders>
              <w:top w:val="none" w:color="FFFFFF" w:sz="0"/>
              <w:left w:val="none" w:color="FFFFFF" w:sz="0"/>
              <w:bottom w:val="single" w:color="E2E2DE" w:sz="4"/>
              <w:right w:val="none" w:color="FFFFFF" w:sz="0"/>
            </w:tcBorders>
            <w:shd w:fill="15171A" w:color="auto" w:val="clear"/>
            <w:tcMar>
              <w:top w:type="dxa" w:w="90"/>
              <w:left w:type="dxa" w:w="130"/>
              <w:bottom w:type="dxa" w:w="90"/>
              <w:right w:type="dxa" w:w="130"/>
            </w:tcMar>
          </w:tcPr>
          <w:p>
            <w:pPr>
              <w:jc w:val="left"/>
            </w:pPr>
            <w:r>
              <w:rPr>
                <w:rFonts w:ascii="Arial" w:cs="Arial" w:eastAsia="Arial" w:hAnsi="Arial"/>
                <w:b/>
                <w:bCs/>
                <w:color w:val="FFFFFF"/>
                <w:sz w:val="18"/>
                <w:szCs w:val="18"/>
              </w:rPr>
              <w:t xml:space="preserve">Was heute fehlt</w:t>
            </w:r>
          </w:p>
        </w:tc>
      </w:tr>
      <w:tr>
        <w:trPr>
          <w:tblHeader w:val="false"/>
        </w:trPr>
        <w:tc>
          <w:tcPr>
            <w:tcW w:type="dxa" w:w="1559"/>
            <w:tcBorders>
              <w:top w:val="none" w:color="FFFFFF" w:sz="0"/>
              <w:left w:val="none" w:color="FFFFFF" w:sz="0"/>
              <w:bottom w:val="single" w:color="E2E2DE" w:sz="4"/>
              <w:right w:val="none" w:color="FFFFFF" w:sz="0"/>
            </w:tcBorders>
            <w:shd w:fill="FFFFFF"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Unternehmen</w:t>
            </w:r>
          </w:p>
        </w:tc>
        <w:tc>
          <w:tcPr>
            <w:tcW w:type="dxa" w:w="4678"/>
            <w:tcBorders>
              <w:top w:val="none" w:color="FFFFFF" w:sz="0"/>
              <w:left w:val="none" w:color="FFFFFF" w:sz="0"/>
              <w:bottom w:val="single" w:color="E2E2DE" w:sz="4"/>
              <w:right w:val="none" w:color="FFFFFF" w:sz="0"/>
            </w:tcBorders>
            <w:shd w:fill="FFFFFF"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41 % der deutschen Unternehmen nutzen KI aktiv, weitere 48 % planen oder diskutieren es – aber nur 21 % haben eine formale Strategie, und 33 % berichten, dass KI teurer wurde als gedacht. In der Industrie sehen sich 46 % selbst als Nachzügler.</w:t>
            </w:r>
          </w:p>
        </w:tc>
        <w:tc>
          <w:tcPr>
            <w:tcW w:type="dxa" w:w="3509"/>
            <w:tcBorders>
              <w:top w:val="none" w:color="FFFFFF" w:sz="0"/>
              <w:left w:val="none" w:color="FFFFFF" w:sz="0"/>
              <w:bottom w:val="single" w:color="E2E2DE" w:sz="4"/>
              <w:right w:val="none" w:color="FFFFFF" w:sz="0"/>
            </w:tcBorders>
            <w:shd w:fill="FFFFFF"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Ein Ort, an dem man den ersten Schritt macht, statt ihn zu planen.</w:t>
            </w:r>
          </w:p>
        </w:tc>
      </w:tr>
      <w:tr>
        <w:trPr>
          <w:tblHeader w:val="false"/>
        </w:trPr>
        <w:tc>
          <w:tcPr>
            <w:tcW w:type="dxa" w:w="1559"/>
            <w:tcBorders>
              <w:top w:val="none" w:color="FFFFFF" w:sz="0"/>
              <w:left w:val="none" w:color="FFFFFF" w:sz="0"/>
              <w:bottom w:val="single" w:color="E2E2DE" w:sz="4"/>
              <w:right w:val="none" w:color="FFFFFF" w:sz="0"/>
            </w:tcBorders>
            <w:shd w:fill="F4F4F1"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Gesellschaft</w:t>
            </w:r>
          </w:p>
        </w:tc>
        <w:tc>
          <w:tcPr>
            <w:tcW w:type="dxa" w:w="4678"/>
            <w:tcBorders>
              <w:top w:val="none" w:color="FFFFFF" w:sz="0"/>
              <w:left w:val="none" w:color="FFFFFF" w:sz="0"/>
              <w:bottom w:val="single" w:color="E2E2DE" w:sz="4"/>
              <w:right w:val="none" w:color="FFFFFF" w:sz="0"/>
            </w:tcBorders>
            <w:shd w:fill="F4F4F1"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Bürger:innen erleben KI und Robotik als Nachricht, nicht als Erfahrung. Zwischen Hype und Angst fehlt der Zwischenraum, in dem man Fragen stellen darf.</w:t>
            </w:r>
          </w:p>
        </w:tc>
        <w:tc>
          <w:tcPr>
            <w:tcW w:type="dxa" w:w="3509"/>
            <w:tcBorders>
              <w:top w:val="none" w:color="FFFFFF" w:sz="0"/>
              <w:left w:val="none" w:color="FFFFFF" w:sz="0"/>
              <w:bottom w:val="single" w:color="E2E2DE" w:sz="4"/>
              <w:right w:val="none" w:color="FFFFFF" w:sz="0"/>
            </w:tcBorders>
            <w:shd w:fill="F4F4F1"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Ein neutraler, physischer Raum mit moderierten Antworten.</w:t>
            </w:r>
          </w:p>
        </w:tc>
      </w:tr>
      <w:tr>
        <w:trPr>
          <w:tblHeader w:val="false"/>
        </w:trPr>
        <w:tc>
          <w:tcPr>
            <w:tcW w:type="dxa" w:w="1559"/>
            <w:tcBorders>
              <w:top w:val="none" w:color="FFFFFF" w:sz="0"/>
              <w:left w:val="none" w:color="FFFFFF" w:sz="0"/>
              <w:bottom w:val="single" w:color="E2E2DE" w:sz="4"/>
              <w:right w:val="none" w:color="FFFFFF" w:sz="0"/>
            </w:tcBorders>
            <w:shd w:fill="FFFFFF"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Forschung</w:t>
            </w:r>
          </w:p>
        </w:tc>
        <w:tc>
          <w:tcPr>
            <w:tcW w:type="dxa" w:w="4678"/>
            <w:tcBorders>
              <w:top w:val="none" w:color="FFFFFF" w:sz="0"/>
              <w:left w:val="none" w:color="FFFFFF" w:sz="0"/>
              <w:bottom w:val="single" w:color="E2E2DE" w:sz="4"/>
              <w:right w:val="none" w:color="FFFFFF" w:sz="0"/>
            </w:tcBorders>
            <w:shd w:fill="FFFFFF"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Die Region hat 22 Hochschulen und eine mehr als doppelt so hohe Forschungsbeschäftigung wie der Bundesschnitt. Der Transfer in den Mittelstand bleibt trotzdem stockend.</w:t>
            </w:r>
          </w:p>
        </w:tc>
        <w:tc>
          <w:tcPr>
            <w:tcW w:type="dxa" w:w="3509"/>
            <w:tcBorders>
              <w:top w:val="none" w:color="FFFFFF" w:sz="0"/>
              <w:left w:val="none" w:color="FFFFFF" w:sz="0"/>
              <w:bottom w:val="single" w:color="E2E2DE" w:sz="4"/>
              <w:right w:val="none" w:color="FFFFFF" w:sz="0"/>
            </w:tcBorders>
            <w:shd w:fill="FFFFFF"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Ein Reallabor mit echten Nutzer:innen und echten Prozessen.</w:t>
            </w:r>
          </w:p>
        </w:tc>
      </w:tr>
      <w:tr>
        <w:trPr>
          <w:tblHeader w:val="false"/>
        </w:trPr>
        <w:tc>
          <w:tcPr>
            <w:tcW w:type="dxa" w:w="1559"/>
            <w:tcBorders>
              <w:top w:val="none" w:color="FFFFFF" w:sz="0"/>
              <w:left w:val="none" w:color="FFFFFF" w:sz="0"/>
              <w:bottom w:val="single" w:color="E2E2DE" w:sz="4"/>
              <w:right w:val="none" w:color="FFFFFF" w:sz="0"/>
            </w:tcBorders>
            <w:shd w:fill="F4F4F1"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Lehre</w:t>
            </w:r>
          </w:p>
        </w:tc>
        <w:tc>
          <w:tcPr>
            <w:tcW w:type="dxa" w:w="4678"/>
            <w:tcBorders>
              <w:top w:val="none" w:color="FFFFFF" w:sz="0"/>
              <w:left w:val="none" w:color="FFFFFF" w:sz="0"/>
              <w:bottom w:val="single" w:color="E2E2DE" w:sz="4"/>
              <w:right w:val="none" w:color="FFFFFF" w:sz="0"/>
            </w:tcBorders>
            <w:shd w:fill="F4F4F1"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Schulen sollen Future Skills vermitteln. Gleichzeitig fehlen bundesweit 133.900 MINT-Fachkräfte, bis 2034 werden demografiebedingt 138.600 weniger verfügbar sein.</w:t>
            </w:r>
          </w:p>
        </w:tc>
        <w:tc>
          <w:tcPr>
            <w:tcW w:type="dxa" w:w="3509"/>
            <w:tcBorders>
              <w:top w:val="none" w:color="FFFFFF" w:sz="0"/>
              <w:left w:val="none" w:color="FFFFFF" w:sz="0"/>
              <w:bottom w:val="single" w:color="E2E2DE" w:sz="4"/>
              <w:right w:val="none" w:color="FFFFFF" w:sz="0"/>
            </w:tcBorders>
            <w:shd w:fill="F4F4F1"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Praxis, Geräte und fortgebildete Lehrkräfte statt Arbeitsblätter.</w:t>
            </w:r>
          </w:p>
        </w:tc>
      </w:tr>
      <w:tr>
        <w:trPr>
          <w:tblHeader w:val="false"/>
        </w:trPr>
        <w:tc>
          <w:tcPr>
            <w:tcW w:type="dxa" w:w="1559"/>
            <w:tcBorders>
              <w:top w:val="none" w:color="FFFFFF" w:sz="0"/>
              <w:left w:val="none" w:color="FFFFFF" w:sz="0"/>
              <w:bottom w:val="single" w:color="E2E2DE" w:sz="4"/>
              <w:right w:val="none" w:color="FFFFFF" w:sz="0"/>
            </w:tcBorders>
            <w:shd w:fill="FFFFFF"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Technik</w:t>
            </w:r>
          </w:p>
        </w:tc>
        <w:tc>
          <w:tcPr>
            <w:tcW w:type="dxa" w:w="4678"/>
            <w:tcBorders>
              <w:top w:val="none" w:color="FFFFFF" w:sz="0"/>
              <w:left w:val="none" w:color="FFFFFF" w:sz="0"/>
              <w:bottom w:val="single" w:color="E2E2DE" w:sz="4"/>
              <w:right w:val="none" w:color="FFFFFF" w:sz="0"/>
            </w:tcBorders>
            <w:shd w:fill="FFFFFF"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Hersteller und Plattformanbieter brauchen regionale Präsenz, qualifizierte Leads, lokalen Service – und Akzeptanz für ihre Produkte.</w:t>
            </w:r>
          </w:p>
        </w:tc>
        <w:tc>
          <w:tcPr>
            <w:tcW w:type="dxa" w:w="3509"/>
            <w:tcBorders>
              <w:top w:val="none" w:color="FFFFFF" w:sz="0"/>
              <w:left w:val="none" w:color="FFFFFF" w:sz="0"/>
              <w:bottom w:val="single" w:color="E2E2DE" w:sz="4"/>
              <w:right w:val="none" w:color="FFFFFF" w:sz="0"/>
            </w:tcBorders>
            <w:shd w:fill="FFFFFF"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Ein Experience-, Sales- und Servicepunkt vor Ort.</w:t>
            </w:r>
          </w:p>
        </w:tc>
      </w:tr>
    </w:tbl>
    <w:p>
      <w:pPr>
        <w:spacing w:after="110" w:line="280"/>
      </w:pPr>
      <w:r>
        <w:rPr>
          <w:rFonts w:ascii="Arial" w:cs="Arial" w:eastAsia="Arial" w:hAnsi="Arial"/>
          <w:b w:val="false"/>
          <w:bCs w:val="false"/>
          <w:i w:val="false"/>
          <w:iCs w:val="false"/>
          <w:color w:val="1A1A1A"/>
          <w:sz w:val="20"/>
          <w:szCs w:val="20"/>
        </w:rPr>
        <w:t xml:space="preserve"/>
      </w:r>
    </w:p>
    <w:p>
      <w:pPr>
        <w:spacing w:after="110" w:line="280"/>
      </w:pPr>
      <w:r>
        <w:rPr>
          <w:rFonts w:ascii="Arial" w:cs="Arial" w:eastAsia="Arial" w:hAnsi="Arial"/>
          <w:b w:val="false"/>
          <w:bCs w:val="false"/>
          <w:i w:val="false"/>
          <w:iCs w:val="false"/>
          <w:color w:val="1A1A1A"/>
          <w:sz w:val="20"/>
          <w:szCs w:val="20"/>
        </w:rPr>
        <w:t xml:space="preserve">Diese fünf Probleme sind bislang fünf getrennte Märkte mit fünf getrennten Anbietern: Systemintegratoren, Beratungen, Bildungsträger, Agenturen für Bürgerbeteiligung, Fachhandel. Keiner von ihnen kann die anderen mitbedienen. ROBANTIS kann es, weil alle fünf am selben Ort stattfinden.</w:t>
      </w:r>
    </w:p>
    <w:p>
      <w:pPr>
        <w:pStyle w:val="Heading1"/>
        <w:pBdr>
          <w:bottom w:val="single" w:color="E4452B" w:sz="6" w:space="7"/>
        </w:pBdr>
        <w:spacing w:after="60" w:before="380"/>
      </w:pPr>
      <w:r>
        <w:rPr>
          <w:rFonts w:ascii="Arial" w:cs="Arial" w:eastAsia="Arial" w:hAnsi="Arial"/>
          <w:b/>
          <w:bCs/>
          <w:color w:val="15171A"/>
          <w:sz w:val="30"/>
          <w:szCs w:val="30"/>
        </w:rPr>
        <w:t xml:space="preserve">3. Die Leitidee: ROBANTIS als Knotenpunkt</w:t>
      </w:r>
    </w:p>
    <w:p>
      <w:pPr>
        <w:spacing w:after="200" w:line="300"/>
      </w:pPr>
      <w:r>
        <w:rPr>
          <w:rFonts w:ascii="Arial" w:cs="Arial" w:eastAsia="Arial" w:hAnsi="Arial"/>
          <w:color w:val="15171A"/>
          <w:sz w:val="22"/>
          <w:szCs w:val="22"/>
        </w:rPr>
        <w:t xml:space="preserve">Fünf Felder, ein Ort, ein gemeinsames Ergebnis.</w:t>
      </w:r>
    </w:p>
    <w:p>
      <w:pPr>
        <w:spacing w:after="110" w:line="280"/>
      </w:pPr>
      <w:r>
        <w:rPr>
          <w:rFonts w:ascii="Arial" w:cs="Arial" w:eastAsia="Arial" w:hAnsi="Arial"/>
          <w:b w:val="false"/>
          <w:bCs w:val="false"/>
          <w:i w:val="false"/>
          <w:iCs w:val="false"/>
          <w:color w:val="1A1A1A"/>
          <w:sz w:val="20"/>
          <w:szCs w:val="20"/>
        </w:rPr>
        <w:t xml:space="preserve">Das Zeichen von ROBANTIS ist ein einzelner Punkt. Kein Symbol neben dem Namen, weil nicht das Symbol die Marke trägt, sondern der Ort: der Punkt, an dem diese fünf Felder zusammenkommen. Gesellschaft steht dabei bewusst an erster Stelle – ohne gesellschaftliche Akzeptanz wird keine Automatisierung durchgesetzt.</w:t>
      </w:r>
    </w:p>
    <w:tbl>
      <w:tblPr>
        <w:tblW w:type="dxa" w:w="974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267"/>
        <w:gridCol w:w="2534"/>
        <w:gridCol w:w="3216"/>
        <w:gridCol w:w="2729"/>
      </w:tblGrid>
      <w:tr>
        <w:trPr>
          <w:tblHeader/>
        </w:trPr>
        <w:tc>
          <w:tcPr>
            <w:tcW w:type="dxa" w:w="1267"/>
            <w:tcBorders>
              <w:top w:val="none" w:color="FFFFFF" w:sz="0"/>
              <w:left w:val="none" w:color="FFFFFF" w:sz="0"/>
              <w:bottom w:val="single" w:color="E2E2DE" w:sz="4"/>
              <w:right w:val="none" w:color="FFFFFF" w:sz="0"/>
            </w:tcBorders>
            <w:shd w:fill="15171A" w:color="auto" w:val="clear"/>
            <w:tcMar>
              <w:top w:type="dxa" w:w="90"/>
              <w:left w:type="dxa" w:w="130"/>
              <w:bottom w:type="dxa" w:w="90"/>
              <w:right w:type="dxa" w:w="130"/>
            </w:tcMar>
          </w:tcPr>
          <w:p>
            <w:pPr>
              <w:jc w:val="left"/>
            </w:pPr>
            <w:r>
              <w:rPr>
                <w:rFonts w:ascii="Arial" w:cs="Arial" w:eastAsia="Arial" w:hAnsi="Arial"/>
                <w:b/>
                <w:bCs/>
                <w:color w:val="FFFFFF"/>
                <w:sz w:val="18"/>
                <w:szCs w:val="18"/>
              </w:rPr>
              <w:t xml:space="preserve">Feld</w:t>
            </w:r>
          </w:p>
        </w:tc>
        <w:tc>
          <w:tcPr>
            <w:tcW w:type="dxa" w:w="2534"/>
            <w:tcBorders>
              <w:top w:val="none" w:color="FFFFFF" w:sz="0"/>
              <w:left w:val="none" w:color="FFFFFF" w:sz="0"/>
              <w:bottom w:val="single" w:color="E2E2DE" w:sz="4"/>
              <w:right w:val="none" w:color="FFFFFF" w:sz="0"/>
            </w:tcBorders>
            <w:shd w:fill="15171A" w:color="auto" w:val="clear"/>
            <w:tcMar>
              <w:top w:type="dxa" w:w="90"/>
              <w:left w:type="dxa" w:w="130"/>
              <w:bottom w:type="dxa" w:w="90"/>
              <w:right w:type="dxa" w:w="130"/>
            </w:tcMar>
          </w:tcPr>
          <w:p>
            <w:pPr>
              <w:jc w:val="left"/>
            </w:pPr>
            <w:r>
              <w:rPr>
                <w:rFonts w:ascii="Arial" w:cs="Arial" w:eastAsia="Arial" w:hAnsi="Arial"/>
                <w:b/>
                <w:bCs/>
                <w:color w:val="FFFFFF"/>
                <w:sz w:val="18"/>
                <w:szCs w:val="18"/>
              </w:rPr>
              <w:t xml:space="preserve">Wer konkret</w:t>
            </w:r>
          </w:p>
        </w:tc>
        <w:tc>
          <w:tcPr>
            <w:tcW w:type="dxa" w:w="3216"/>
            <w:tcBorders>
              <w:top w:val="none" w:color="FFFFFF" w:sz="0"/>
              <w:left w:val="none" w:color="FFFFFF" w:sz="0"/>
              <w:bottom w:val="single" w:color="E2E2DE" w:sz="4"/>
              <w:right w:val="none" w:color="FFFFFF" w:sz="0"/>
            </w:tcBorders>
            <w:shd w:fill="15171A" w:color="auto" w:val="clear"/>
            <w:tcMar>
              <w:top w:type="dxa" w:w="90"/>
              <w:left w:type="dxa" w:w="130"/>
              <w:bottom w:type="dxa" w:w="90"/>
              <w:right w:type="dxa" w:w="130"/>
            </w:tcMar>
          </w:tcPr>
          <w:p>
            <w:pPr>
              <w:jc w:val="left"/>
            </w:pPr>
            <w:r>
              <w:rPr>
                <w:rFonts w:ascii="Arial" w:cs="Arial" w:eastAsia="Arial" w:hAnsi="Arial"/>
                <w:b/>
                <w:bCs/>
                <w:color w:val="FFFFFF"/>
                <w:sz w:val="18"/>
                <w:szCs w:val="18"/>
              </w:rPr>
              <w:t xml:space="preserve">Was ROBANTIS liefert</w:t>
            </w:r>
          </w:p>
        </w:tc>
        <w:tc>
          <w:tcPr>
            <w:tcW w:type="dxa" w:w="2729"/>
            <w:tcBorders>
              <w:top w:val="none" w:color="FFFFFF" w:sz="0"/>
              <w:left w:val="none" w:color="FFFFFF" w:sz="0"/>
              <w:bottom w:val="single" w:color="E2E2DE" w:sz="4"/>
              <w:right w:val="none" w:color="FFFFFF" w:sz="0"/>
            </w:tcBorders>
            <w:shd w:fill="15171A" w:color="auto" w:val="clear"/>
            <w:tcMar>
              <w:top w:type="dxa" w:w="90"/>
              <w:left w:type="dxa" w:w="130"/>
              <w:bottom w:type="dxa" w:w="90"/>
              <w:right w:type="dxa" w:w="130"/>
            </w:tcMar>
          </w:tcPr>
          <w:p>
            <w:pPr>
              <w:jc w:val="left"/>
            </w:pPr>
            <w:r>
              <w:rPr>
                <w:rFonts w:ascii="Arial" w:cs="Arial" w:eastAsia="Arial" w:hAnsi="Arial"/>
                <w:b/>
                <w:bCs/>
                <w:color w:val="FFFFFF"/>
                <w:sz w:val="18"/>
                <w:szCs w:val="18"/>
              </w:rPr>
              <w:t xml:space="preserve">Was zurückkommt</w:t>
            </w:r>
          </w:p>
        </w:tc>
      </w:tr>
      <w:tr>
        <w:trPr>
          <w:tblHeader w:val="false"/>
        </w:trPr>
        <w:tc>
          <w:tcPr>
            <w:tcW w:type="dxa" w:w="1267"/>
            <w:tcBorders>
              <w:top w:val="none" w:color="FFFFFF" w:sz="0"/>
              <w:left w:val="none" w:color="FFFFFF" w:sz="0"/>
              <w:bottom w:val="single" w:color="E2E2DE" w:sz="4"/>
              <w:right w:val="none" w:color="FFFFFF" w:sz="0"/>
            </w:tcBorders>
            <w:shd w:fill="FFFFFF"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Gesellschaft</w:t>
            </w:r>
          </w:p>
        </w:tc>
        <w:tc>
          <w:tcPr>
            <w:tcW w:type="dxa" w:w="2534"/>
            <w:tcBorders>
              <w:top w:val="none" w:color="FFFFFF" w:sz="0"/>
              <w:left w:val="none" w:color="FFFFFF" w:sz="0"/>
              <w:bottom w:val="single" w:color="E2E2DE" w:sz="4"/>
              <w:right w:val="none" w:color="FFFFFF" w:sz="0"/>
            </w:tcBorders>
            <w:shd w:fill="FFFFFF"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Bürger:innen, Familien, Senior:innen, Kommunen, Vereine, Zivilgesellschaft</w:t>
            </w:r>
          </w:p>
        </w:tc>
        <w:tc>
          <w:tcPr>
            <w:tcW w:type="dxa" w:w="3216"/>
            <w:tcBorders>
              <w:top w:val="none" w:color="FFFFFF" w:sz="0"/>
              <w:left w:val="none" w:color="FFFFFF" w:sz="0"/>
              <w:bottom w:val="single" w:color="E2E2DE" w:sz="4"/>
              <w:right w:val="none" w:color="FFFFFF" w:sz="0"/>
            </w:tcBorders>
            <w:shd w:fill="FFFFFF"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Offene Sprechstunden, Bürgerabende, moderierte Debatten, Cybersecurity-Aufklärung, mobile Formate</w:t>
            </w:r>
          </w:p>
        </w:tc>
        <w:tc>
          <w:tcPr>
            <w:tcW w:type="dxa" w:w="2729"/>
            <w:tcBorders>
              <w:top w:val="none" w:color="FFFFFF" w:sz="0"/>
              <w:left w:val="none" w:color="FFFFFF" w:sz="0"/>
              <w:bottom w:val="single" w:color="E2E2DE" w:sz="4"/>
              <w:right w:val="none" w:color="FFFFFF" w:sz="0"/>
            </w:tcBorders>
            <w:shd w:fill="FFFFFF"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Akzeptanz, kommunale Rahmenverträge, politische Anschlussfähigkeit, lokale Frequenz</w:t>
            </w:r>
          </w:p>
        </w:tc>
      </w:tr>
      <w:tr>
        <w:trPr>
          <w:tblHeader w:val="false"/>
        </w:trPr>
        <w:tc>
          <w:tcPr>
            <w:tcW w:type="dxa" w:w="1267"/>
            <w:tcBorders>
              <w:top w:val="none" w:color="FFFFFF" w:sz="0"/>
              <w:left w:val="none" w:color="FFFFFF" w:sz="0"/>
              <w:bottom w:val="single" w:color="E2E2DE" w:sz="4"/>
              <w:right w:val="none" w:color="FFFFFF" w:sz="0"/>
            </w:tcBorders>
            <w:shd w:fill="F4F4F1"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Unternehmen</w:t>
            </w:r>
          </w:p>
        </w:tc>
        <w:tc>
          <w:tcPr>
            <w:tcW w:type="dxa" w:w="2534"/>
            <w:tcBorders>
              <w:top w:val="none" w:color="FFFFFF" w:sz="0"/>
              <w:left w:val="none" w:color="FFFFFF" w:sz="0"/>
              <w:bottom w:val="single" w:color="E2E2DE" w:sz="4"/>
              <w:right w:val="none" w:color="FFFFFF" w:sz="0"/>
            </w:tcBorders>
            <w:shd w:fill="F4F4F1"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Industrie, Logistik, Healthcare, Handwerk, Bau, Handel, Hospitality, KMU aller Branchen</w:t>
            </w:r>
          </w:p>
        </w:tc>
        <w:tc>
          <w:tcPr>
            <w:tcW w:type="dxa" w:w="3216"/>
            <w:tcBorders>
              <w:top w:val="none" w:color="FFFFFF" w:sz="0"/>
              <w:left w:val="none" w:color="FFFFFF" w:sz="0"/>
              <w:bottom w:val="single" w:color="E2E2DE" w:sz="4"/>
              <w:right w:val="none" w:color="FFFFFF" w:sz="0"/>
            </w:tcBorders>
            <w:shd w:fill="F4F4F1"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AI Agent Bar, Automation Sprints, Consulting, Implementierung, Robo Lab PoCs, Service-Retainer</w:t>
            </w:r>
          </w:p>
        </w:tc>
        <w:tc>
          <w:tcPr>
            <w:tcW w:type="dxa" w:w="2729"/>
            <w:tcBorders>
              <w:top w:val="none" w:color="FFFFFF" w:sz="0"/>
              <w:left w:val="none" w:color="FFFFFF" w:sz="0"/>
              <w:bottom w:val="single" w:color="E2E2DE" w:sz="4"/>
              <w:right w:val="none" w:color="FFFFFF" w:sz="0"/>
            </w:tcBorders>
            <w:shd w:fill="F4F4F1"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Umsatzkern, wiederkehrende Erlöse, Referenzen, Use-Case-Wissen</w:t>
            </w:r>
          </w:p>
        </w:tc>
      </w:tr>
      <w:tr>
        <w:trPr>
          <w:tblHeader w:val="false"/>
        </w:trPr>
        <w:tc>
          <w:tcPr>
            <w:tcW w:type="dxa" w:w="1267"/>
            <w:tcBorders>
              <w:top w:val="none" w:color="FFFFFF" w:sz="0"/>
              <w:left w:val="none" w:color="FFFFFF" w:sz="0"/>
              <w:bottom w:val="single" w:color="E2E2DE" w:sz="4"/>
              <w:right w:val="none" w:color="FFFFFF" w:sz="0"/>
            </w:tcBorders>
            <w:shd w:fill="FFFFFF"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Forschung</w:t>
            </w:r>
          </w:p>
        </w:tc>
        <w:tc>
          <w:tcPr>
            <w:tcW w:type="dxa" w:w="2534"/>
            <w:tcBorders>
              <w:top w:val="none" w:color="FFFFFF" w:sz="0"/>
              <w:left w:val="none" w:color="FFFFFF" w:sz="0"/>
              <w:bottom w:val="single" w:color="E2E2DE" w:sz="4"/>
              <w:right w:val="none" w:color="FFFFFF" w:sz="0"/>
            </w:tcBorders>
            <w:shd w:fill="FFFFFF"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Hochschulen, Institute, Reallabore, Transferstellen</w:t>
            </w:r>
          </w:p>
        </w:tc>
        <w:tc>
          <w:tcPr>
            <w:tcW w:type="dxa" w:w="3216"/>
            <w:tcBorders>
              <w:top w:val="none" w:color="FFFFFF" w:sz="0"/>
              <w:left w:val="none" w:color="FFFFFF" w:sz="0"/>
              <w:bottom w:val="single" w:color="E2E2DE" w:sz="4"/>
              <w:right w:val="none" w:color="FFFFFF" w:sz="0"/>
            </w:tcBorders>
            <w:shd w:fill="FFFFFF"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Zugang zu echten Anwender:innen, Testumgebung, Daten aus der Praxis, gemeinsame Formate</w:t>
            </w:r>
          </w:p>
        </w:tc>
        <w:tc>
          <w:tcPr>
            <w:tcW w:type="dxa" w:w="2729"/>
            <w:tcBorders>
              <w:top w:val="none" w:color="FFFFFF" w:sz="0"/>
              <w:left w:val="none" w:color="FFFFFF" w:sz="0"/>
              <w:bottom w:val="single" w:color="E2E2DE" w:sz="4"/>
              <w:right w:val="none" w:color="FFFFFF" w:sz="0"/>
            </w:tcBorders>
            <w:shd w:fill="FFFFFF"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Methodik, Förderfähigkeit, Talentpipeline, wissenschaftliche Glaubwürdigkeit</w:t>
            </w:r>
          </w:p>
        </w:tc>
      </w:tr>
      <w:tr>
        <w:trPr>
          <w:tblHeader w:val="false"/>
        </w:trPr>
        <w:tc>
          <w:tcPr>
            <w:tcW w:type="dxa" w:w="1267"/>
            <w:tcBorders>
              <w:top w:val="none" w:color="FFFFFF" w:sz="0"/>
              <w:left w:val="none" w:color="FFFFFF" w:sz="0"/>
              <w:bottom w:val="single" w:color="E2E2DE" w:sz="4"/>
              <w:right w:val="none" w:color="FFFFFF" w:sz="0"/>
            </w:tcBorders>
            <w:shd w:fill="F4F4F1"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Lehre</w:t>
            </w:r>
          </w:p>
        </w:tc>
        <w:tc>
          <w:tcPr>
            <w:tcW w:type="dxa" w:w="2534"/>
            <w:tcBorders>
              <w:top w:val="none" w:color="FFFFFF" w:sz="0"/>
              <w:left w:val="none" w:color="FFFFFF" w:sz="0"/>
              <w:bottom w:val="single" w:color="E2E2DE" w:sz="4"/>
              <w:right w:val="none" w:color="FFFFFF" w:sz="0"/>
            </w:tcBorders>
            <w:shd w:fill="F4F4F1"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Schulen, Kitas, Berufsschulen, Lehrkräfte, Kammern, Weiterbildungsträger</w:t>
            </w:r>
          </w:p>
        </w:tc>
        <w:tc>
          <w:tcPr>
            <w:tcW w:type="dxa" w:w="3216"/>
            <w:tcBorders>
              <w:top w:val="none" w:color="FFFFFF" w:sz="0"/>
              <w:left w:val="none" w:color="FFFFFF" w:sz="0"/>
              <w:bottom w:val="single" w:color="E2E2DE" w:sz="4"/>
              <w:right w:val="none" w:color="FFFFFF" w:sz="0"/>
            </w:tcBorders>
            <w:shd w:fill="F4F4F1"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Robo Lab Education, Robo Lab on Tour, Lehrkräftefortbildung, Projekttage, Future-Skills-Programme</w:t>
            </w:r>
          </w:p>
        </w:tc>
        <w:tc>
          <w:tcPr>
            <w:tcW w:type="dxa" w:w="2729"/>
            <w:tcBorders>
              <w:top w:val="none" w:color="FFFFFF" w:sz="0"/>
              <w:left w:val="none" w:color="FFFFFF" w:sz="0"/>
              <w:bottom w:val="single" w:color="E2E2DE" w:sz="4"/>
              <w:right w:val="none" w:color="FFFFFF" w:sz="0"/>
            </w:tcBorders>
            <w:shd w:fill="F4F4F1"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Multiplikatoren, Reichweite, Fördermittel, Nachwuchs, Vertrauen in der Region</w:t>
            </w:r>
          </w:p>
        </w:tc>
      </w:tr>
      <w:tr>
        <w:trPr>
          <w:tblHeader w:val="false"/>
        </w:trPr>
        <w:tc>
          <w:tcPr>
            <w:tcW w:type="dxa" w:w="1267"/>
            <w:tcBorders>
              <w:top w:val="none" w:color="FFFFFF" w:sz="0"/>
              <w:left w:val="none" w:color="FFFFFF" w:sz="0"/>
              <w:bottom w:val="single" w:color="E2E2DE" w:sz="4"/>
              <w:right w:val="none" w:color="FFFFFF" w:sz="0"/>
            </w:tcBorders>
            <w:shd w:fill="FFFFFF"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Technik</w:t>
            </w:r>
          </w:p>
        </w:tc>
        <w:tc>
          <w:tcPr>
            <w:tcW w:type="dxa" w:w="2534"/>
            <w:tcBorders>
              <w:top w:val="none" w:color="FFFFFF" w:sz="0"/>
              <w:left w:val="none" w:color="FFFFFF" w:sz="0"/>
              <w:bottom w:val="single" w:color="E2E2DE" w:sz="4"/>
              <w:right w:val="none" w:color="FFFFFF" w:sz="0"/>
            </w:tcBorders>
            <w:shd w:fill="FFFFFF"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Robotikhersteller, Distributoren, Integratoren, AI-Plattformen</w:t>
            </w:r>
          </w:p>
        </w:tc>
        <w:tc>
          <w:tcPr>
            <w:tcW w:type="dxa" w:w="3216"/>
            <w:tcBorders>
              <w:top w:val="none" w:color="FFFFFF" w:sz="0"/>
              <w:left w:val="none" w:color="FFFFFF" w:sz="0"/>
              <w:bottom w:val="single" w:color="E2E2DE" w:sz="4"/>
              <w:right w:val="none" w:color="FFFFFF" w:sz="0"/>
            </w:tcBorders>
            <w:shd w:fill="FFFFFF"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Showroom-Flächen, Demo Days, Servicepoint, Schulungen, qualifizierte Leads, Feedback aus dem Feld</w:t>
            </w:r>
          </w:p>
        </w:tc>
        <w:tc>
          <w:tcPr>
            <w:tcW w:type="dxa" w:w="2729"/>
            <w:tcBorders>
              <w:top w:val="none" w:color="FFFFFF" w:sz="0"/>
              <w:left w:val="none" w:color="FFFFFF" w:sz="0"/>
              <w:bottom w:val="single" w:color="E2E2DE" w:sz="4"/>
              <w:right w:val="none" w:color="FFFFFF" w:sz="0"/>
            </w:tcBorders>
            <w:shd w:fill="FFFFFF"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Provisionen, Flächenmieten, Servicemargen, Konsignationsware statt Kapitalbindung</w:t>
            </w:r>
          </w:p>
        </w:tc>
      </w:tr>
    </w:tbl>
    <w:p>
      <w:pPr>
        <w:spacing w:after="110" w:line="280"/>
      </w:pPr>
      <w:r>
        <w:rPr>
          <w:rFonts w:ascii="Arial" w:cs="Arial" w:eastAsia="Arial" w:hAnsi="Arial"/>
          <w:b w:val="false"/>
          <w:bCs w:val="false"/>
          <w:i w:val="false"/>
          <w:iCs w:val="false"/>
          <w:color w:val="1A1A1A"/>
          <w:sz w:val="20"/>
          <w:szCs w:val="20"/>
        </w:rPr>
        <w:t xml:space="preserve"/>
      </w:r>
    </w:p>
    <w:tbl>
      <w:tblPr>
        <w:tblW w:type="dxa" w:w="9746"/>
        <w:tblBorders>
          <w:top w:val="none" w:color="FFFFFF" w:sz="0"/>
          <w:left w:val="single" w:color="E4452B" w:sz="12"/>
          <w:bottom w:val="none" w:color="FFFFFF" w:sz="0"/>
          <w:right w:val="none" w:color="FFFFFF" w:sz="0"/>
          <w:insideH w:val="none" w:color="FFFFFF" w:sz="0"/>
          <w:insideV w:val="none" w:color="FFFFFF" w:sz="0"/>
        </w:tblBorders>
        <w:tblLayout w:type="fixed"/>
      </w:tblPr>
      <w:tblGrid>
        <w:gridCol w:w="9746"/>
      </w:tblGrid>
      <w:tr>
        <w:tc>
          <w:tcPr>
            <w:tcW w:type="dxa" w:w="9746"/>
            <w:shd w:fill="F4F4F1" w:color="auto" w:val="clear"/>
            <w:tcMar>
              <w:top w:type="dxa" w:w="160"/>
              <w:left w:type="dxa" w:w="200"/>
              <w:bottom w:type="dxa" w:w="160"/>
              <w:right w:type="dxa" w:w="200"/>
            </w:tcMar>
          </w:tcPr>
          <w:p>
            <w:pPr>
              <w:spacing w:after="60"/>
            </w:pPr>
            <w:r>
              <w:rPr>
                <w:rFonts w:ascii="Arial" w:cs="Arial" w:eastAsia="Arial" w:hAnsi="Arial"/>
                <w:b/>
                <w:bCs/>
                <w:color w:val="15171A"/>
                <w:sz w:val="20"/>
                <w:szCs w:val="20"/>
              </w:rPr>
              <w:t xml:space="preserve">Warum der Ort physisch sein muss</w:t>
            </w:r>
          </w:p>
          <w:p>
            <w:pPr>
              <w:spacing w:after="50" w:line="270"/>
            </w:pPr>
            <w:r>
              <w:rPr>
                <w:rFonts w:ascii="Arial" w:cs="Arial" w:eastAsia="Arial" w:hAnsi="Arial"/>
                <w:b w:val="false"/>
                <w:bCs w:val="false"/>
                <w:i w:val="false"/>
                <w:iCs w:val="false"/>
                <w:color w:val="1A1A1A"/>
                <w:sz w:val="19"/>
                <w:szCs w:val="19"/>
              </w:rPr>
              <w:t xml:space="preserve">Ein Online-Angebot kann Wissen vermitteln. Es kann keinen Roboter anfassen lassen, keine Schulklasse beherbergen, keine Bürgerin beruhigen, keinen Herstellervertrag durch eine Live-Demo entscheiden und keine fünf Zielgruppen am selben Nachmittag durch dieselbe Tür bringen.</w:t>
            </w:r>
          </w:p>
          <w:p>
            <w:pPr>
              <w:spacing w:after="50" w:line="270"/>
            </w:pPr>
            <w:r>
              <w:rPr>
                <w:rFonts w:ascii="Arial" w:cs="Arial" w:eastAsia="Arial" w:hAnsi="Arial"/>
                <w:b w:val="false"/>
                <w:bCs w:val="false"/>
                <w:i w:val="false"/>
                <w:iCs w:val="false"/>
                <w:color w:val="1A1A1A"/>
                <w:sz w:val="19"/>
                <w:szCs w:val="19"/>
              </w:rPr>
              <w:t xml:space="preserve">Die physische Zugänglichkeit ist nicht Beiwerk des Modells. Sie ist der Grund, warum die fünf Felder überhaupt zusammenfinden.</w:t>
            </w:r>
          </w:p>
        </w:tc>
      </w:tr>
    </w:tbl>
    <w:p>
      <w:r>
        <w:br w:type="page"/>
      </w:r>
    </w:p>
    <w:p>
      <w:pPr>
        <w:pStyle w:val="Heading1"/>
        <w:pBdr>
          <w:bottom w:val="single" w:color="E4452B" w:sz="6" w:space="7"/>
        </w:pBdr>
        <w:spacing w:after="60" w:before="380"/>
      </w:pPr>
      <w:r>
        <w:rPr>
          <w:rFonts w:ascii="Arial" w:cs="Arial" w:eastAsia="Arial" w:hAnsi="Arial"/>
          <w:b/>
          <w:bCs/>
          <w:color w:val="15171A"/>
          <w:sz w:val="30"/>
          <w:szCs w:val="30"/>
        </w:rPr>
        <w:t xml:space="preserve">4. Der ROBANTIS-Kreislauf: wie aus Vernetzung Umsatz wird</w:t>
      </w:r>
    </w:p>
    <w:p>
      <w:pPr>
        <w:spacing w:after="200" w:line="300"/>
      </w:pPr>
      <w:r>
        <w:rPr>
          <w:rFonts w:ascii="Arial" w:cs="Arial" w:eastAsia="Arial" w:hAnsi="Arial"/>
          <w:color w:val="15171A"/>
          <w:sz w:val="22"/>
          <w:szCs w:val="22"/>
        </w:rPr>
        <w:t xml:space="preserve">Dies ist der wirtschaftliche Kern des Konzepts. Wer nur ihn liest, hat das Modell verstanden.</w:t>
      </w:r>
    </w:p>
    <w:p>
      <w:pPr>
        <w:spacing w:after="110" w:line="280"/>
      </w:pPr>
      <w:r>
        <w:rPr>
          <w:rFonts w:ascii="Arial" w:cs="Arial" w:eastAsia="Arial" w:hAnsi="Arial"/>
          <w:b w:val="false"/>
          <w:bCs w:val="false"/>
          <w:i w:val="false"/>
          <w:iCs w:val="false"/>
          <w:color w:val="1A1A1A"/>
          <w:sz w:val="20"/>
          <w:szCs w:val="20"/>
        </w:rPr>
        <w:t xml:space="preserve">In den meisten Unternehmen ist gesellschaftliches Engagement ein Kostenblock, den man sich vom Gewinn leistet. Bei ROBANTIS ist es umgekehrt: Die gesellschaftliche Arbeit erzeugt Zugänge, die ein reiner Anbieter teuer einkaufen müsste. Fünf Schritte, die sich gegenseitig verstärken:</w:t>
      </w:r>
    </w:p>
    <w:p>
      <w:pPr>
        <w:pStyle w:val="ListParagraph"/>
        <w:numPr>
          <w:ilvl w:val="0"/>
          <w:numId w:val="2"/>
        </w:numPr>
        <w:spacing w:after="70" w:line="270"/>
      </w:pPr>
      <w:r>
        <w:rPr>
          <w:rFonts w:ascii="Arial" w:cs="Arial" w:eastAsia="Arial" w:hAnsi="Arial"/>
          <w:b/>
          <w:bCs/>
          <w:i w:val="false"/>
          <w:iCs w:val="false"/>
          <w:color w:val="1A1A1A"/>
          <w:sz w:val="20"/>
          <w:szCs w:val="20"/>
        </w:rPr>
        <w:t xml:space="preserve">Lehre erzeugt Multiplikatoren. </w:t>
      </w:r>
      <w:r>
        <w:rPr>
          <w:rFonts w:ascii="Arial" w:cs="Arial" w:eastAsia="Arial" w:hAnsi="Arial"/>
          <w:b w:val="false"/>
          <w:bCs w:val="false"/>
          <w:i w:val="false"/>
          <w:iCs w:val="false"/>
          <w:color w:val="1A1A1A"/>
          <w:sz w:val="20"/>
          <w:szCs w:val="20"/>
        </w:rPr>
        <w:t xml:space="preserve">Eine fortgebildete Lehrkraft erreicht jedes Jahr neue Klassen. Ein Projekttag erreicht 25 Familien. In einer Region wie Rhein-Neckar sind Eltern von Schulkindern zugleich Meister, Abteilungsleiterinnen und Geschäftsführer im Mittelstand. Die Bildungsarbeit ist damit der günstigste Kanal in die Zielgruppe, die später Automatisierung kauft.</w:t>
      </w:r>
    </w:p>
    <w:p>
      <w:pPr>
        <w:pStyle w:val="ListParagraph"/>
        <w:numPr>
          <w:ilvl w:val="0"/>
          <w:numId w:val="2"/>
        </w:numPr>
        <w:spacing w:after="70" w:line="270"/>
      </w:pPr>
      <w:r>
        <w:rPr>
          <w:rFonts w:ascii="Arial" w:cs="Arial" w:eastAsia="Arial" w:hAnsi="Arial"/>
          <w:b/>
          <w:bCs/>
          <w:i w:val="false"/>
          <w:iCs w:val="false"/>
          <w:color w:val="1A1A1A"/>
          <w:sz w:val="20"/>
          <w:szCs w:val="20"/>
        </w:rPr>
        <w:t xml:space="preserve">Gesellschaft erzeugt öffentliche Aufträge. </w:t>
      </w:r>
      <w:r>
        <w:rPr>
          <w:rFonts w:ascii="Arial" w:cs="Arial" w:eastAsia="Arial" w:hAnsi="Arial"/>
          <w:b w:val="false"/>
          <w:bCs w:val="false"/>
          <w:i w:val="false"/>
          <w:iCs w:val="false"/>
          <w:color w:val="1A1A1A"/>
          <w:sz w:val="20"/>
          <w:szCs w:val="20"/>
        </w:rPr>
        <w:t xml:space="preserve">Wer Bürgerabende und Sprechstunden für eine Kommune moderiert, ist bei der nächsten Ausschreibung für Verwaltungsautomatisierung und Smart-City-Projekte kein Unbekannter. Aus Aufklärungsarbeit entsteht B2G-Pipeline – zu Akquisekosten nahe null.</w:t>
      </w:r>
    </w:p>
    <w:p>
      <w:pPr>
        <w:pStyle w:val="ListParagraph"/>
        <w:numPr>
          <w:ilvl w:val="0"/>
          <w:numId w:val="2"/>
        </w:numPr>
        <w:spacing w:after="70" w:line="270"/>
      </w:pPr>
      <w:r>
        <w:rPr>
          <w:rFonts w:ascii="Arial" w:cs="Arial" w:eastAsia="Arial" w:hAnsi="Arial"/>
          <w:b/>
          <w:bCs/>
          <w:i w:val="false"/>
          <w:iCs w:val="false"/>
          <w:color w:val="1A1A1A"/>
          <w:sz w:val="20"/>
          <w:szCs w:val="20"/>
        </w:rPr>
        <w:t xml:space="preserve">Forschung erzeugt Legitimität und Förderfähigkeit. </w:t>
      </w:r>
      <w:r>
        <w:rPr>
          <w:rFonts w:ascii="Arial" w:cs="Arial" w:eastAsia="Arial" w:hAnsi="Arial"/>
          <w:b w:val="false"/>
          <w:bCs w:val="false"/>
          <w:i w:val="false"/>
          <w:iCs w:val="false"/>
          <w:color w:val="1A1A1A"/>
          <w:sz w:val="20"/>
          <w:szCs w:val="20"/>
        </w:rPr>
        <w:t xml:space="preserve">Eine Hochschulkooperation macht aus einem Ladenlokal ein Reallabor. Das verändert, welche Förderprogramme zugänglich sind, welche Institutionen kooperieren und wie ernst Kommunen und Kammern das Angebot nehmen.</w:t>
      </w:r>
    </w:p>
    <w:p>
      <w:pPr>
        <w:pStyle w:val="ListParagraph"/>
        <w:numPr>
          <w:ilvl w:val="0"/>
          <w:numId w:val="2"/>
        </w:numPr>
        <w:spacing w:after="70" w:line="270"/>
      </w:pPr>
      <w:r>
        <w:rPr>
          <w:rFonts w:ascii="Arial" w:cs="Arial" w:eastAsia="Arial" w:hAnsi="Arial"/>
          <w:b/>
          <w:bCs/>
          <w:i w:val="false"/>
          <w:iCs w:val="false"/>
          <w:color w:val="1A1A1A"/>
          <w:sz w:val="20"/>
          <w:szCs w:val="20"/>
        </w:rPr>
        <w:t xml:space="preserve">Unternehmen zahlen für Umsetzung. </w:t>
      </w:r>
      <w:r>
        <w:rPr>
          <w:rFonts w:ascii="Arial" w:cs="Arial" w:eastAsia="Arial" w:hAnsi="Arial"/>
          <w:b w:val="false"/>
          <w:bCs w:val="false"/>
          <w:i w:val="false"/>
          <w:iCs w:val="false"/>
          <w:color w:val="1A1A1A"/>
          <w:sz w:val="20"/>
          <w:szCs w:val="20"/>
        </w:rPr>
        <w:t xml:space="preserve">Sie kommen über Demo Days, über die Bildungsarbeit ihrer eigenen Beschäftigten und über kommunale Netzwerke. Ihr Auftrag ist der Umsatzkern – und er kommt mit deutlich geringerem Vertriebsaufwand, weil das Vertrauen bereits aufgebaut ist.</w:t>
      </w:r>
    </w:p>
    <w:p>
      <w:pPr>
        <w:pStyle w:val="ListParagraph"/>
        <w:numPr>
          <w:ilvl w:val="0"/>
          <w:numId w:val="2"/>
        </w:numPr>
        <w:spacing w:after="70" w:line="270"/>
      </w:pPr>
      <w:r>
        <w:rPr>
          <w:rFonts w:ascii="Arial" w:cs="Arial" w:eastAsia="Arial" w:hAnsi="Arial"/>
          <w:b/>
          <w:bCs/>
          <w:i w:val="false"/>
          <w:iCs w:val="false"/>
          <w:color w:val="1A1A1A"/>
          <w:sz w:val="20"/>
          <w:szCs w:val="20"/>
        </w:rPr>
        <w:t xml:space="preserve">Technik zahlt für den Zugang zu allen vier. </w:t>
      </w:r>
      <w:r>
        <w:rPr>
          <w:rFonts w:ascii="Arial" w:cs="Arial" w:eastAsia="Arial" w:hAnsi="Arial"/>
          <w:b w:val="false"/>
          <w:bCs w:val="false"/>
          <w:i w:val="false"/>
          <w:iCs w:val="false"/>
          <w:color w:val="1A1A1A"/>
          <w:sz w:val="20"/>
          <w:szCs w:val="20"/>
        </w:rPr>
        <w:t xml:space="preserve">Ein Hersteller bekommt bei ROBANTIS nicht nur eine Verkaufsfläche, sondern gleichzeitig Zugang zu Unternehmen, Kommunen, Schulen, Forschung und Öffentlichkeit. Dafür sind Flächenpakete, Provisionen und Servicemargen darstellbar, die eine reine Verkaufsfläche nicht rechtfertigen würde.</w:t>
      </w:r>
    </w:p>
    <w:p>
      <w:pPr>
        <w:spacing w:after="110" w:line="280"/>
      </w:pPr>
      <w:r>
        <w:rPr>
          <w:rFonts w:ascii="Arial" w:cs="Arial" w:eastAsia="Arial" w:hAnsi="Arial"/>
          <w:b w:val="false"/>
          <w:bCs w:val="false"/>
          <w:i w:val="false"/>
          <w:iCs w:val="false"/>
          <w:color w:val="1A1A1A"/>
          <w:sz w:val="20"/>
          <w:szCs w:val="20"/>
        </w:rPr>
        <w:t xml:space="preserve"/>
      </w:r>
    </w:p>
    <w:tbl>
      <w:tblPr>
        <w:tblW w:type="dxa" w:w="9746"/>
        <w:tblBorders>
          <w:top w:val="none" w:color="FFFFFF" w:sz="0"/>
          <w:left w:val="single" w:color="7A7F85" w:sz="12"/>
          <w:bottom w:val="none" w:color="FFFFFF" w:sz="0"/>
          <w:right w:val="none" w:color="FFFFFF" w:sz="0"/>
          <w:insideH w:val="none" w:color="FFFFFF" w:sz="0"/>
          <w:insideV w:val="none" w:color="FFFFFF" w:sz="0"/>
        </w:tblBorders>
        <w:tblLayout w:type="fixed"/>
      </w:tblPr>
      <w:tblGrid>
        <w:gridCol w:w="9746"/>
      </w:tblGrid>
      <w:tr>
        <w:tc>
          <w:tcPr>
            <w:tcW w:type="dxa" w:w="9746"/>
            <w:shd w:fill="F4F4F1" w:color="auto" w:val="clear"/>
            <w:tcMar>
              <w:top w:type="dxa" w:w="160"/>
              <w:left w:type="dxa" w:w="200"/>
              <w:bottom w:type="dxa" w:w="160"/>
              <w:right w:type="dxa" w:w="200"/>
            </w:tcMar>
          </w:tcPr>
          <w:p>
            <w:pPr>
              <w:spacing w:after="60"/>
            </w:pPr>
            <w:r>
              <w:rPr>
                <w:rFonts w:ascii="Arial" w:cs="Arial" w:eastAsia="Arial" w:hAnsi="Arial"/>
                <w:b/>
                <w:bCs/>
                <w:color w:val="15171A"/>
                <w:sz w:val="20"/>
                <w:szCs w:val="20"/>
              </w:rPr>
              <w:t xml:space="preserve">Der Effekt in einem Satz</w:t>
            </w:r>
          </w:p>
          <w:p>
            <w:pPr>
              <w:spacing w:after="50" w:line="270"/>
            </w:pPr>
            <w:r>
              <w:rPr>
                <w:rFonts w:ascii="Arial" w:cs="Arial" w:eastAsia="Arial" w:hAnsi="Arial"/>
                <w:b w:val="false"/>
                <w:bCs w:val="false"/>
                <w:i w:val="false"/>
                <w:iCs w:val="false"/>
                <w:color w:val="1A1A1A"/>
                <w:sz w:val="19"/>
                <w:szCs w:val="19"/>
              </w:rPr>
              <w:t xml:space="preserve">Jeder Euro, der in Bildung und Bürgerdialog fließt, senkt die Kundengewinnungskosten im B2B- und B2G-Geschäft – und erzeugt gleichzeitig eigene Erlöse aus Workshops, Tourtagen, kommunalen Programmen und Sponsoring.</w:t>
            </w:r>
          </w:p>
          <w:p>
            <w:pPr>
              <w:spacing w:after="50" w:line="270"/>
            </w:pPr>
            <w:r>
              <w:rPr>
                <w:rFonts w:ascii="Arial" w:cs="Arial" w:eastAsia="Arial" w:hAnsi="Arial"/>
                <w:b w:val="false"/>
                <w:bCs w:val="false"/>
                <w:i w:val="false"/>
                <w:iCs w:val="false"/>
                <w:color w:val="1A1A1A"/>
                <w:sz w:val="19"/>
                <w:szCs w:val="19"/>
              </w:rPr>
              <w:t xml:space="preserve">Im Finanzplan macht die Public-Impact-Säule rund 11 % des Umsatzes in Jahr 1 und rund 15 % in Jahr 2 aus. Ihr eigentlicher Wert liegt aber in den übrigen 85 %, die sie mit ermöglicht.</w:t>
            </w:r>
          </w:p>
        </w:tc>
      </w:tr>
    </w:tbl>
    <w:p>
      <w:pPr>
        <w:spacing w:after="110" w:line="280"/>
      </w:pPr>
      <w:r>
        <w:rPr>
          <w:rFonts w:ascii="Arial" w:cs="Arial" w:eastAsia="Arial" w:hAnsi="Arial"/>
          <w:b w:val="false"/>
          <w:bCs w:val="false"/>
          <w:i w:val="false"/>
          <w:iCs w:val="false"/>
          <w:color w:val="1A1A1A"/>
          <w:sz w:val="20"/>
          <w:szCs w:val="20"/>
        </w:rPr>
        <w:t xml:space="preserve"/>
      </w:r>
    </w:p>
    <w:p>
      <w:pPr>
        <w:pStyle w:val="Heading3"/>
        <w:spacing w:after="30" w:before="180"/>
      </w:pPr>
      <w:r>
        <w:rPr>
          <w:rFonts w:ascii="Arial" w:cs="Arial" w:eastAsia="Arial" w:hAnsi="Arial"/>
          <w:b/>
          <w:bCs/>
          <w:color w:val="7A7F85"/>
          <w:sz w:val="20"/>
          <w:szCs w:val="20"/>
        </w:rPr>
        <w:t xml:space="preserve">Was das für Wettbewerber bedeutet</w:t>
      </w:r>
    </w:p>
    <w:p>
      <w:pPr>
        <w:spacing w:after="110" w:line="280"/>
      </w:pPr>
      <w:r>
        <w:rPr>
          <w:rFonts w:ascii="Arial" w:cs="Arial" w:eastAsia="Arial" w:hAnsi="Arial"/>
          <w:b w:val="false"/>
          <w:bCs w:val="false"/>
          <w:i w:val="false"/>
          <w:iCs w:val="false"/>
          <w:color w:val="1A1A1A"/>
          <w:sz w:val="20"/>
          <w:szCs w:val="20"/>
        </w:rPr>
        <w:t xml:space="preserve">Ein Systemintegrator kann günstiger implementieren. Eine Beratung kann tiefer analysieren. Ein Bildungsträger kann besser unterrichten. Keiner von ihnen kann in einer Region gleichzeitig als Verkäufer, Umsetzer, Servicepartner, Bildungsanbieter und neutraler Moderator auftreten – weil ihm jeweils vier der fünf Beziehungen fehlen. Diese Position ist über Zeit aufgebaut und deshalb schwer angreifbar.</w:t>
      </w:r>
    </w:p>
    <w:p>
      <w:r>
        <w:br w:type="page"/>
      </w:r>
    </w:p>
    <w:p>
      <w:pPr>
        <w:pStyle w:val="Heading1"/>
        <w:pBdr>
          <w:bottom w:val="single" w:color="E4452B" w:sz="6" w:space="7"/>
        </w:pBdr>
        <w:spacing w:after="60" w:before="380"/>
      </w:pPr>
      <w:r>
        <w:rPr>
          <w:rFonts w:ascii="Arial" w:cs="Arial" w:eastAsia="Arial" w:hAnsi="Arial"/>
          <w:b/>
          <w:bCs/>
          <w:color w:val="15171A"/>
          <w:sz w:val="30"/>
          <w:szCs w:val="30"/>
        </w:rPr>
        <w:t xml:space="preserve">5. Der Output: gesellschaftlicher Wandel, messbar gemacht</w:t>
      </w:r>
    </w:p>
    <w:p>
      <w:pPr>
        <w:spacing w:after="110" w:line="280"/>
      </w:pPr>
      <w:r>
        <w:rPr>
          <w:rFonts w:ascii="Arial" w:cs="Arial" w:eastAsia="Arial" w:hAnsi="Arial"/>
          <w:b w:val="false"/>
          <w:bCs w:val="false"/>
          <w:i w:val="false"/>
          <w:iCs w:val="false"/>
          <w:color w:val="1A1A1A"/>
          <w:sz w:val="20"/>
          <w:szCs w:val="20"/>
        </w:rPr>
        <w:t xml:space="preserve">„Gesellschaftlicher Wandel“ ist als Zielsetzung wertlos, solange er nicht überprüfbar ist. ROBANTIS definiert ihn deshalb als vier konkrete, messbare Veränderungen im Einzugsgebiet.</w:t>
      </w:r>
    </w:p>
    <w:tbl>
      <w:tblPr>
        <w:tblW w:type="dxa" w:w="974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2924"/>
        <w:gridCol w:w="4093"/>
        <w:gridCol w:w="2729"/>
      </w:tblGrid>
      <w:tr>
        <w:trPr>
          <w:tblHeader/>
        </w:trPr>
        <w:tc>
          <w:tcPr>
            <w:tcW w:type="dxa" w:w="2924"/>
            <w:tcBorders>
              <w:top w:val="none" w:color="FFFFFF" w:sz="0"/>
              <w:left w:val="none" w:color="FFFFFF" w:sz="0"/>
              <w:bottom w:val="single" w:color="E2E2DE" w:sz="4"/>
              <w:right w:val="none" w:color="FFFFFF" w:sz="0"/>
            </w:tcBorders>
            <w:shd w:fill="15171A" w:color="auto" w:val="clear"/>
            <w:tcMar>
              <w:top w:type="dxa" w:w="90"/>
              <w:left w:type="dxa" w:w="130"/>
              <w:bottom w:type="dxa" w:w="90"/>
              <w:right w:type="dxa" w:w="130"/>
            </w:tcMar>
          </w:tcPr>
          <w:p>
            <w:pPr>
              <w:jc w:val="left"/>
            </w:pPr>
            <w:r>
              <w:rPr>
                <w:rFonts w:ascii="Arial" w:cs="Arial" w:eastAsia="Arial" w:hAnsi="Arial"/>
                <w:b/>
                <w:bCs/>
                <w:color w:val="FFFFFF"/>
                <w:sz w:val="18"/>
                <w:szCs w:val="18"/>
              </w:rPr>
              <w:t xml:space="preserve">Angestrebte Veränderung</w:t>
            </w:r>
          </w:p>
        </w:tc>
        <w:tc>
          <w:tcPr>
            <w:tcW w:type="dxa" w:w="4093"/>
            <w:tcBorders>
              <w:top w:val="none" w:color="FFFFFF" w:sz="0"/>
              <w:left w:val="none" w:color="FFFFFF" w:sz="0"/>
              <w:bottom w:val="single" w:color="E2E2DE" w:sz="4"/>
              <w:right w:val="none" w:color="FFFFFF" w:sz="0"/>
            </w:tcBorders>
            <w:shd w:fill="15171A" w:color="auto" w:val="clear"/>
            <w:tcMar>
              <w:top w:type="dxa" w:w="90"/>
              <w:left w:type="dxa" w:w="130"/>
              <w:bottom w:type="dxa" w:w="90"/>
              <w:right w:type="dxa" w:w="130"/>
            </w:tcMar>
          </w:tcPr>
          <w:p>
            <w:pPr>
              <w:jc w:val="left"/>
            </w:pPr>
            <w:r>
              <w:rPr>
                <w:rFonts w:ascii="Arial" w:cs="Arial" w:eastAsia="Arial" w:hAnsi="Arial"/>
                <w:b/>
                <w:bCs/>
                <w:color w:val="FFFFFF"/>
                <w:sz w:val="18"/>
                <w:szCs w:val="18"/>
              </w:rPr>
              <w:t xml:space="preserve">Woran man sie erkennt</w:t>
            </w:r>
          </w:p>
        </w:tc>
        <w:tc>
          <w:tcPr>
            <w:tcW w:type="dxa" w:w="2729"/>
            <w:tcBorders>
              <w:top w:val="none" w:color="FFFFFF" w:sz="0"/>
              <w:left w:val="none" w:color="FFFFFF" w:sz="0"/>
              <w:bottom w:val="single" w:color="E2E2DE" w:sz="4"/>
              <w:right w:val="none" w:color="FFFFFF" w:sz="0"/>
            </w:tcBorders>
            <w:shd w:fill="15171A" w:color="auto" w:val="clear"/>
            <w:tcMar>
              <w:top w:type="dxa" w:w="90"/>
              <w:left w:type="dxa" w:w="130"/>
              <w:bottom w:type="dxa" w:w="90"/>
              <w:right w:type="dxa" w:w="130"/>
            </w:tcMar>
          </w:tcPr>
          <w:p>
            <w:pPr>
              <w:jc w:val="left"/>
            </w:pPr>
            <w:r>
              <w:rPr>
                <w:rFonts w:ascii="Arial" w:cs="Arial" w:eastAsia="Arial" w:hAnsi="Arial"/>
                <w:b/>
                <w:bCs/>
                <w:color w:val="FFFFFF"/>
                <w:sz w:val="18"/>
                <w:szCs w:val="18"/>
              </w:rPr>
              <w:t xml:space="preserve">Kennzahl</w:t>
            </w:r>
          </w:p>
        </w:tc>
      </w:tr>
      <w:tr>
        <w:trPr>
          <w:tblHeader w:val="false"/>
        </w:trPr>
        <w:tc>
          <w:tcPr>
            <w:tcW w:type="dxa" w:w="2924"/>
            <w:tcBorders>
              <w:top w:val="none" w:color="FFFFFF" w:sz="0"/>
              <w:left w:val="none" w:color="FFFFFF" w:sz="0"/>
              <w:bottom w:val="single" w:color="E2E2DE" w:sz="4"/>
              <w:right w:val="none" w:color="FFFFFF" w:sz="0"/>
            </w:tcBorders>
            <w:shd w:fill="FFFFFF"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Menschen können Technologie beurteilen, statt sie zu fürchten oder zu überschätzen</w:t>
            </w:r>
          </w:p>
        </w:tc>
        <w:tc>
          <w:tcPr>
            <w:tcW w:type="dxa" w:w="4093"/>
            <w:tcBorders>
              <w:top w:val="none" w:color="FFFFFF" w:sz="0"/>
              <w:left w:val="none" w:color="FFFFFF" w:sz="0"/>
              <w:bottom w:val="single" w:color="E2E2DE" w:sz="4"/>
              <w:right w:val="none" w:color="FFFFFF" w:sz="0"/>
            </w:tcBorders>
            <w:shd w:fill="FFFFFF"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Bürger:innen, Schüler:innen und Lehrkräfte, die eigene Fragen formulieren und eigene Grenzen ziehen können</w:t>
            </w:r>
          </w:p>
        </w:tc>
        <w:tc>
          <w:tcPr>
            <w:tcW w:type="dxa" w:w="2729"/>
            <w:tcBorders>
              <w:top w:val="none" w:color="FFFFFF" w:sz="0"/>
              <w:left w:val="none" w:color="FFFFFF" w:sz="0"/>
              <w:bottom w:val="single" w:color="E2E2DE" w:sz="4"/>
              <w:right w:val="none" w:color="FFFFFF" w:sz="0"/>
            </w:tcBorders>
            <w:shd w:fill="FFFFFF"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Erreichte Personen, Feedbackwerte, Wiederbuchungen</w:t>
            </w:r>
          </w:p>
        </w:tc>
      </w:tr>
      <w:tr>
        <w:trPr>
          <w:tblHeader w:val="false"/>
        </w:trPr>
        <w:tc>
          <w:tcPr>
            <w:tcW w:type="dxa" w:w="2924"/>
            <w:tcBorders>
              <w:top w:val="none" w:color="FFFFFF" w:sz="0"/>
              <w:left w:val="none" w:color="FFFFFF" w:sz="0"/>
              <w:bottom w:val="single" w:color="E2E2DE" w:sz="4"/>
              <w:right w:val="none" w:color="FFFFFF" w:sz="0"/>
            </w:tcBorders>
            <w:shd w:fill="F4F4F1"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Unternehmen setzen Automatisierung tatsächlich ein, statt sie zu planen</w:t>
            </w:r>
          </w:p>
        </w:tc>
        <w:tc>
          <w:tcPr>
            <w:tcW w:type="dxa" w:w="4093"/>
            <w:tcBorders>
              <w:top w:val="none" w:color="FFFFFF" w:sz="0"/>
              <w:left w:val="none" w:color="FFFFFF" w:sz="0"/>
              <w:bottom w:val="single" w:color="E2E2DE" w:sz="4"/>
              <w:right w:val="none" w:color="FFFFFF" w:sz="0"/>
            </w:tcBorders>
            <w:shd w:fill="F4F4F1"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Abgeschlossene Automatisierungen im Betrieb, nicht Präsentationen</w:t>
            </w:r>
          </w:p>
        </w:tc>
        <w:tc>
          <w:tcPr>
            <w:tcW w:type="dxa" w:w="2729"/>
            <w:tcBorders>
              <w:top w:val="none" w:color="FFFFFF" w:sz="0"/>
              <w:left w:val="none" w:color="FFFFFF" w:sz="0"/>
              <w:bottom w:val="single" w:color="E2E2DE" w:sz="4"/>
              <w:right w:val="none" w:color="FFFFFF" w:sz="0"/>
            </w:tcBorders>
            <w:shd w:fill="F4F4F1"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Umgesetzte Workflows, PoC-zu-Rollout-Quote, Retainer-Bestand</w:t>
            </w:r>
          </w:p>
        </w:tc>
      </w:tr>
      <w:tr>
        <w:trPr>
          <w:tblHeader w:val="false"/>
        </w:trPr>
        <w:tc>
          <w:tcPr>
            <w:tcW w:type="dxa" w:w="2924"/>
            <w:tcBorders>
              <w:top w:val="none" w:color="FFFFFF" w:sz="0"/>
              <w:left w:val="none" w:color="FFFFFF" w:sz="0"/>
              <w:bottom w:val="single" w:color="E2E2DE" w:sz="4"/>
              <w:right w:val="none" w:color="FFFFFF" w:sz="0"/>
            </w:tcBorders>
            <w:shd w:fill="FFFFFF"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Kommunen werden bei KI und Robotik handlungsfähig</w:t>
            </w:r>
          </w:p>
        </w:tc>
        <w:tc>
          <w:tcPr>
            <w:tcW w:type="dxa" w:w="4093"/>
            <w:tcBorders>
              <w:top w:val="none" w:color="FFFFFF" w:sz="0"/>
              <w:left w:val="none" w:color="FFFFFF" w:sz="0"/>
              <w:bottom w:val="single" w:color="E2E2DE" w:sz="4"/>
              <w:right w:val="none" w:color="FFFFFF" w:sz="0"/>
            </w:tcBorders>
            <w:shd w:fill="FFFFFF"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Verwaltungen, die Bürgerfragen beantworten und eigene Vorhaben starten können</w:t>
            </w:r>
          </w:p>
        </w:tc>
        <w:tc>
          <w:tcPr>
            <w:tcW w:type="dxa" w:w="2729"/>
            <w:tcBorders>
              <w:top w:val="none" w:color="FFFFFF" w:sz="0"/>
              <w:left w:val="none" w:color="FFFFFF" w:sz="0"/>
              <w:bottom w:val="single" w:color="E2E2DE" w:sz="4"/>
              <w:right w:val="none" w:color="FFFFFF" w:sz="0"/>
            </w:tcBorders>
            <w:shd w:fill="FFFFFF"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Kommunale Partner, Rahmenverträge, Folgeprojekte</w:t>
            </w:r>
          </w:p>
        </w:tc>
      </w:tr>
      <w:tr>
        <w:trPr>
          <w:tblHeader w:val="false"/>
        </w:trPr>
        <w:tc>
          <w:tcPr>
            <w:tcW w:type="dxa" w:w="2924"/>
            <w:tcBorders>
              <w:top w:val="none" w:color="FFFFFF" w:sz="0"/>
              <w:left w:val="none" w:color="FFFFFF" w:sz="0"/>
              <w:bottom w:val="single" w:color="E2E2DE" w:sz="4"/>
              <w:right w:val="none" w:color="FFFFFF" w:sz="0"/>
            </w:tcBorders>
            <w:shd w:fill="F4F4F1"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Technologie wird sicher und rechtskonform eingeführt, nicht heimlich</w:t>
            </w:r>
          </w:p>
        </w:tc>
        <w:tc>
          <w:tcPr>
            <w:tcW w:type="dxa" w:w="4093"/>
            <w:tcBorders>
              <w:top w:val="none" w:color="FFFFFF" w:sz="0"/>
              <w:left w:val="none" w:color="FFFFFF" w:sz="0"/>
              <w:bottom w:val="single" w:color="E2E2DE" w:sz="4"/>
              <w:right w:val="none" w:color="FFFFFF" w:sz="0"/>
            </w:tcBorders>
            <w:shd w:fill="F4F4F1"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Human-in-the-loop-Prozesse, dokumentierte Datenflüsse, geschulte Belegschaften</w:t>
            </w:r>
          </w:p>
        </w:tc>
        <w:tc>
          <w:tcPr>
            <w:tcW w:type="dxa" w:w="2729"/>
            <w:tcBorders>
              <w:top w:val="none" w:color="FFFFFF" w:sz="0"/>
              <w:left w:val="none" w:color="FFFFFF" w:sz="0"/>
              <w:bottom w:val="single" w:color="E2E2DE" w:sz="4"/>
              <w:right w:val="none" w:color="FFFFFF" w:sz="0"/>
            </w:tcBorders>
            <w:shd w:fill="F4F4F1"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Cybersecurity-Formate, Governance-Reviews, Vorfallsquote</w:t>
            </w:r>
          </w:p>
        </w:tc>
      </w:tr>
    </w:tbl>
    <w:p>
      <w:pPr>
        <w:spacing w:after="110" w:line="280"/>
      </w:pPr>
      <w:r>
        <w:rPr>
          <w:rFonts w:ascii="Arial" w:cs="Arial" w:eastAsia="Arial" w:hAnsi="Arial"/>
          <w:b w:val="false"/>
          <w:bCs w:val="false"/>
          <w:i w:val="false"/>
          <w:iCs w:val="false"/>
          <w:color w:val="1A1A1A"/>
          <w:sz w:val="20"/>
          <w:szCs w:val="20"/>
        </w:rPr>
        <w:t xml:space="preserve"/>
      </w:r>
    </w:p>
    <w:p>
      <w:pPr>
        <w:pStyle w:val="Heading3"/>
        <w:spacing w:after="30" w:before="180"/>
      </w:pPr>
      <w:r>
        <w:rPr>
          <w:rFonts w:ascii="Arial" w:cs="Arial" w:eastAsia="Arial" w:hAnsi="Arial"/>
          <w:b/>
          <w:bCs/>
          <w:color w:val="7A7F85"/>
          <w:sz w:val="20"/>
          <w:szCs w:val="20"/>
        </w:rPr>
        <w:t xml:space="preserve">Zielwerte für die ersten drei Jahre</w:t>
      </w:r>
    </w:p>
    <w:tbl>
      <w:tblPr>
        <w:tblW w:type="dxa" w:w="974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4483"/>
        <w:gridCol w:w="1754"/>
        <w:gridCol w:w="1754"/>
        <w:gridCol w:w="1755"/>
      </w:tblGrid>
      <w:tr>
        <w:trPr>
          <w:tblHeader/>
        </w:trPr>
        <w:tc>
          <w:tcPr>
            <w:tcW w:type="dxa" w:w="4483"/>
            <w:tcBorders>
              <w:top w:val="none" w:color="FFFFFF" w:sz="0"/>
              <w:left w:val="none" w:color="FFFFFF" w:sz="0"/>
              <w:bottom w:val="single" w:color="E2E2DE" w:sz="4"/>
              <w:right w:val="none" w:color="FFFFFF" w:sz="0"/>
            </w:tcBorders>
            <w:shd w:fill="15171A" w:color="auto" w:val="clear"/>
            <w:tcMar>
              <w:top w:type="dxa" w:w="90"/>
              <w:left w:type="dxa" w:w="130"/>
              <w:bottom w:type="dxa" w:w="90"/>
              <w:right w:type="dxa" w:w="130"/>
            </w:tcMar>
          </w:tcPr>
          <w:p>
            <w:pPr>
              <w:jc w:val="left"/>
            </w:pPr>
            <w:r>
              <w:rPr>
                <w:rFonts w:ascii="Arial" w:cs="Arial" w:eastAsia="Arial" w:hAnsi="Arial"/>
                <w:b/>
                <w:bCs/>
                <w:color w:val="FFFFFF"/>
                <w:sz w:val="18"/>
                <w:szCs w:val="18"/>
              </w:rPr>
              <w:t xml:space="preserve">Impact-KPI</w:t>
            </w:r>
          </w:p>
        </w:tc>
        <w:tc>
          <w:tcPr>
            <w:tcW w:type="dxa" w:w="1754"/>
            <w:tcBorders>
              <w:top w:val="none" w:color="FFFFFF" w:sz="0"/>
              <w:left w:val="none" w:color="FFFFFF" w:sz="0"/>
              <w:bottom w:val="single" w:color="E2E2DE" w:sz="4"/>
              <w:right w:val="none" w:color="FFFFFF" w:sz="0"/>
            </w:tcBorders>
            <w:shd w:fill="15171A" w:color="auto" w:val="clear"/>
            <w:tcMar>
              <w:top w:type="dxa" w:w="90"/>
              <w:left w:type="dxa" w:w="130"/>
              <w:bottom w:type="dxa" w:w="90"/>
              <w:right w:type="dxa" w:w="130"/>
            </w:tcMar>
          </w:tcPr>
          <w:p>
            <w:pPr>
              <w:jc w:val="right"/>
            </w:pPr>
            <w:r>
              <w:rPr>
                <w:rFonts w:ascii="Arial" w:cs="Arial" w:eastAsia="Arial" w:hAnsi="Arial"/>
                <w:b/>
                <w:bCs/>
                <w:color w:val="FFFFFF"/>
                <w:sz w:val="18"/>
                <w:szCs w:val="18"/>
              </w:rPr>
              <w:t xml:space="preserve">Jahr 1</w:t>
            </w:r>
          </w:p>
        </w:tc>
        <w:tc>
          <w:tcPr>
            <w:tcW w:type="dxa" w:w="1754"/>
            <w:tcBorders>
              <w:top w:val="none" w:color="FFFFFF" w:sz="0"/>
              <w:left w:val="none" w:color="FFFFFF" w:sz="0"/>
              <w:bottom w:val="single" w:color="E2E2DE" w:sz="4"/>
              <w:right w:val="none" w:color="FFFFFF" w:sz="0"/>
            </w:tcBorders>
            <w:shd w:fill="15171A" w:color="auto" w:val="clear"/>
            <w:tcMar>
              <w:top w:type="dxa" w:w="90"/>
              <w:left w:type="dxa" w:w="130"/>
              <w:bottom w:type="dxa" w:w="90"/>
              <w:right w:type="dxa" w:w="130"/>
            </w:tcMar>
          </w:tcPr>
          <w:p>
            <w:pPr>
              <w:jc w:val="right"/>
            </w:pPr>
            <w:r>
              <w:rPr>
                <w:rFonts w:ascii="Arial" w:cs="Arial" w:eastAsia="Arial" w:hAnsi="Arial"/>
                <w:b/>
                <w:bCs/>
                <w:color w:val="FFFFFF"/>
                <w:sz w:val="18"/>
                <w:szCs w:val="18"/>
              </w:rPr>
              <w:t xml:space="preserve">Jahr 2</w:t>
            </w:r>
          </w:p>
        </w:tc>
        <w:tc>
          <w:tcPr>
            <w:tcW w:type="dxa" w:w="1755"/>
            <w:tcBorders>
              <w:top w:val="none" w:color="FFFFFF" w:sz="0"/>
              <w:left w:val="none" w:color="FFFFFF" w:sz="0"/>
              <w:bottom w:val="single" w:color="E2E2DE" w:sz="4"/>
              <w:right w:val="none" w:color="FFFFFF" w:sz="0"/>
            </w:tcBorders>
            <w:shd w:fill="15171A" w:color="auto" w:val="clear"/>
            <w:tcMar>
              <w:top w:type="dxa" w:w="90"/>
              <w:left w:type="dxa" w:w="130"/>
              <w:bottom w:type="dxa" w:w="90"/>
              <w:right w:type="dxa" w:w="130"/>
            </w:tcMar>
          </w:tcPr>
          <w:p>
            <w:pPr>
              <w:jc w:val="right"/>
            </w:pPr>
            <w:r>
              <w:rPr>
                <w:rFonts w:ascii="Arial" w:cs="Arial" w:eastAsia="Arial" w:hAnsi="Arial"/>
                <w:b/>
                <w:bCs/>
                <w:color w:val="FFFFFF"/>
                <w:sz w:val="18"/>
                <w:szCs w:val="18"/>
              </w:rPr>
              <w:t xml:space="preserve">Jahr 3</w:t>
            </w:r>
          </w:p>
        </w:tc>
      </w:tr>
      <w:tr>
        <w:trPr>
          <w:tblHeader w:val="false"/>
        </w:trPr>
        <w:tc>
          <w:tcPr>
            <w:tcW w:type="dxa" w:w="4483"/>
            <w:tcBorders>
              <w:top w:val="none" w:color="FFFFFF" w:sz="0"/>
              <w:left w:val="none" w:color="FFFFFF" w:sz="0"/>
              <w:bottom w:val="single" w:color="E2E2DE" w:sz="4"/>
              <w:right w:val="none" w:color="FFFFFF" w:sz="0"/>
            </w:tcBorders>
            <w:shd w:fill="FFFFFF"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Schüler:innen und junge Menschen erreicht</w:t>
            </w:r>
          </w:p>
        </w:tc>
        <w:tc>
          <w:tcPr>
            <w:tcW w:type="dxa" w:w="1754"/>
            <w:tcBorders>
              <w:top w:val="none" w:color="FFFFFF" w:sz="0"/>
              <w:left w:val="none" w:color="FFFFFF" w:sz="0"/>
              <w:bottom w:val="single" w:color="E2E2DE" w:sz="4"/>
              <w:right w:val="none" w:color="FFFFFF" w:sz="0"/>
            </w:tcBorders>
            <w:shd w:fill="FFFFFF" w:color="auto" w:val="clear"/>
            <w:tcMar>
              <w:top w:type="dxa" w:w="90"/>
              <w:left w:type="dxa" w:w="130"/>
              <w:bottom w:type="dxa" w:w="90"/>
              <w:right w:type="dxa" w:w="130"/>
            </w:tcMar>
          </w:tcPr>
          <w:p>
            <w:pPr>
              <w:jc w:val="right"/>
            </w:pPr>
            <w:r>
              <w:rPr>
                <w:rFonts w:ascii="Arial" w:cs="Arial" w:eastAsia="Arial" w:hAnsi="Arial"/>
                <w:b w:val="false"/>
                <w:bCs w:val="false"/>
                <w:color w:val="1A1A1A"/>
                <w:sz w:val="18"/>
                <w:szCs w:val="18"/>
              </w:rPr>
              <w:t xml:space="preserve">600</w:t>
            </w:r>
          </w:p>
        </w:tc>
        <w:tc>
          <w:tcPr>
            <w:tcW w:type="dxa" w:w="1754"/>
            <w:tcBorders>
              <w:top w:val="none" w:color="FFFFFF" w:sz="0"/>
              <w:left w:val="none" w:color="FFFFFF" w:sz="0"/>
              <w:bottom w:val="single" w:color="E2E2DE" w:sz="4"/>
              <w:right w:val="none" w:color="FFFFFF" w:sz="0"/>
            </w:tcBorders>
            <w:shd w:fill="FFFFFF" w:color="auto" w:val="clear"/>
            <w:tcMar>
              <w:top w:type="dxa" w:w="90"/>
              <w:left w:type="dxa" w:w="130"/>
              <w:bottom w:type="dxa" w:w="90"/>
              <w:right w:type="dxa" w:w="130"/>
            </w:tcMar>
          </w:tcPr>
          <w:p>
            <w:pPr>
              <w:jc w:val="right"/>
            </w:pPr>
            <w:r>
              <w:rPr>
                <w:rFonts w:ascii="Arial" w:cs="Arial" w:eastAsia="Arial" w:hAnsi="Arial"/>
                <w:b w:val="false"/>
                <w:bCs w:val="false"/>
                <w:color w:val="1A1A1A"/>
                <w:sz w:val="18"/>
                <w:szCs w:val="18"/>
              </w:rPr>
              <w:t xml:space="preserve">2.600</w:t>
            </w:r>
          </w:p>
        </w:tc>
        <w:tc>
          <w:tcPr>
            <w:tcW w:type="dxa" w:w="1755"/>
            <w:tcBorders>
              <w:top w:val="none" w:color="FFFFFF" w:sz="0"/>
              <w:left w:val="none" w:color="FFFFFF" w:sz="0"/>
              <w:bottom w:val="single" w:color="E2E2DE" w:sz="4"/>
              <w:right w:val="none" w:color="FFFFFF" w:sz="0"/>
            </w:tcBorders>
            <w:shd w:fill="FFFFFF" w:color="auto" w:val="clear"/>
            <w:tcMar>
              <w:top w:type="dxa" w:w="90"/>
              <w:left w:type="dxa" w:w="130"/>
              <w:bottom w:type="dxa" w:w="90"/>
              <w:right w:type="dxa" w:w="130"/>
            </w:tcMar>
          </w:tcPr>
          <w:p>
            <w:pPr>
              <w:jc w:val="right"/>
            </w:pPr>
            <w:r>
              <w:rPr>
                <w:rFonts w:ascii="Arial" w:cs="Arial" w:eastAsia="Arial" w:hAnsi="Arial"/>
                <w:b w:val="false"/>
                <w:bCs w:val="false"/>
                <w:color w:val="1A1A1A"/>
                <w:sz w:val="18"/>
                <w:szCs w:val="18"/>
              </w:rPr>
              <w:t xml:space="preserve">6.500</w:t>
            </w:r>
          </w:p>
        </w:tc>
      </w:tr>
      <w:tr>
        <w:trPr>
          <w:tblHeader w:val="false"/>
        </w:trPr>
        <w:tc>
          <w:tcPr>
            <w:tcW w:type="dxa" w:w="4483"/>
            <w:tcBorders>
              <w:top w:val="none" w:color="FFFFFF" w:sz="0"/>
              <w:left w:val="none" w:color="FFFFFF" w:sz="0"/>
              <w:bottom w:val="single" w:color="E2E2DE" w:sz="4"/>
              <w:right w:val="none" w:color="FFFFFF" w:sz="0"/>
            </w:tcBorders>
            <w:shd w:fill="F4F4F1"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Lehrkräfte und Multiplikator:innen fortgebildet</w:t>
            </w:r>
          </w:p>
        </w:tc>
        <w:tc>
          <w:tcPr>
            <w:tcW w:type="dxa" w:w="1754"/>
            <w:tcBorders>
              <w:top w:val="none" w:color="FFFFFF" w:sz="0"/>
              <w:left w:val="none" w:color="FFFFFF" w:sz="0"/>
              <w:bottom w:val="single" w:color="E2E2DE" w:sz="4"/>
              <w:right w:val="none" w:color="FFFFFF" w:sz="0"/>
            </w:tcBorders>
            <w:shd w:fill="F4F4F1" w:color="auto" w:val="clear"/>
            <w:tcMar>
              <w:top w:type="dxa" w:w="90"/>
              <w:left w:type="dxa" w:w="130"/>
              <w:bottom w:type="dxa" w:w="90"/>
              <w:right w:type="dxa" w:w="130"/>
            </w:tcMar>
          </w:tcPr>
          <w:p>
            <w:pPr>
              <w:jc w:val="right"/>
            </w:pPr>
            <w:r>
              <w:rPr>
                <w:rFonts w:ascii="Arial" w:cs="Arial" w:eastAsia="Arial" w:hAnsi="Arial"/>
                <w:b w:val="false"/>
                <w:bCs w:val="false"/>
                <w:color w:val="1A1A1A"/>
                <w:sz w:val="18"/>
                <w:szCs w:val="18"/>
              </w:rPr>
              <w:t xml:space="preserve">45</w:t>
            </w:r>
          </w:p>
        </w:tc>
        <w:tc>
          <w:tcPr>
            <w:tcW w:type="dxa" w:w="1754"/>
            <w:tcBorders>
              <w:top w:val="none" w:color="FFFFFF" w:sz="0"/>
              <w:left w:val="none" w:color="FFFFFF" w:sz="0"/>
              <w:bottom w:val="single" w:color="E2E2DE" w:sz="4"/>
              <w:right w:val="none" w:color="FFFFFF" w:sz="0"/>
            </w:tcBorders>
            <w:shd w:fill="F4F4F1" w:color="auto" w:val="clear"/>
            <w:tcMar>
              <w:top w:type="dxa" w:w="90"/>
              <w:left w:type="dxa" w:w="130"/>
              <w:bottom w:type="dxa" w:w="90"/>
              <w:right w:type="dxa" w:w="130"/>
            </w:tcMar>
          </w:tcPr>
          <w:p>
            <w:pPr>
              <w:jc w:val="right"/>
            </w:pPr>
            <w:r>
              <w:rPr>
                <w:rFonts w:ascii="Arial" w:cs="Arial" w:eastAsia="Arial" w:hAnsi="Arial"/>
                <w:b w:val="false"/>
                <w:bCs w:val="false"/>
                <w:color w:val="1A1A1A"/>
                <w:sz w:val="18"/>
                <w:szCs w:val="18"/>
              </w:rPr>
              <w:t xml:space="preserve">180</w:t>
            </w:r>
          </w:p>
        </w:tc>
        <w:tc>
          <w:tcPr>
            <w:tcW w:type="dxa" w:w="1755"/>
            <w:tcBorders>
              <w:top w:val="none" w:color="FFFFFF" w:sz="0"/>
              <w:left w:val="none" w:color="FFFFFF" w:sz="0"/>
              <w:bottom w:val="single" w:color="E2E2DE" w:sz="4"/>
              <w:right w:val="none" w:color="FFFFFF" w:sz="0"/>
            </w:tcBorders>
            <w:shd w:fill="F4F4F1" w:color="auto" w:val="clear"/>
            <w:tcMar>
              <w:top w:type="dxa" w:w="90"/>
              <w:left w:type="dxa" w:w="130"/>
              <w:bottom w:type="dxa" w:w="90"/>
              <w:right w:type="dxa" w:w="130"/>
            </w:tcMar>
          </w:tcPr>
          <w:p>
            <w:pPr>
              <w:jc w:val="right"/>
            </w:pPr>
            <w:r>
              <w:rPr>
                <w:rFonts w:ascii="Arial" w:cs="Arial" w:eastAsia="Arial" w:hAnsi="Arial"/>
                <w:b w:val="false"/>
                <w:bCs w:val="false"/>
                <w:color w:val="1A1A1A"/>
                <w:sz w:val="18"/>
                <w:szCs w:val="18"/>
              </w:rPr>
              <w:t xml:space="preserve">420</w:t>
            </w:r>
          </w:p>
        </w:tc>
      </w:tr>
      <w:tr>
        <w:trPr>
          <w:tblHeader w:val="false"/>
        </w:trPr>
        <w:tc>
          <w:tcPr>
            <w:tcW w:type="dxa" w:w="4483"/>
            <w:tcBorders>
              <w:top w:val="none" w:color="FFFFFF" w:sz="0"/>
              <w:left w:val="none" w:color="FFFFFF" w:sz="0"/>
              <w:bottom w:val="single" w:color="E2E2DE" w:sz="4"/>
              <w:right w:val="none" w:color="FFFFFF" w:sz="0"/>
            </w:tcBorders>
            <w:shd w:fill="FFFFFF"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Einsatztage Robo Lab on Tour</w:t>
            </w:r>
          </w:p>
        </w:tc>
        <w:tc>
          <w:tcPr>
            <w:tcW w:type="dxa" w:w="1754"/>
            <w:tcBorders>
              <w:top w:val="none" w:color="FFFFFF" w:sz="0"/>
              <w:left w:val="none" w:color="FFFFFF" w:sz="0"/>
              <w:bottom w:val="single" w:color="E2E2DE" w:sz="4"/>
              <w:right w:val="none" w:color="FFFFFF" w:sz="0"/>
            </w:tcBorders>
            <w:shd w:fill="FFFFFF" w:color="auto" w:val="clear"/>
            <w:tcMar>
              <w:top w:type="dxa" w:w="90"/>
              <w:left w:type="dxa" w:w="130"/>
              <w:bottom w:type="dxa" w:w="90"/>
              <w:right w:type="dxa" w:w="130"/>
            </w:tcMar>
          </w:tcPr>
          <w:p>
            <w:pPr>
              <w:jc w:val="right"/>
            </w:pPr>
            <w:r>
              <w:rPr>
                <w:rFonts w:ascii="Arial" w:cs="Arial" w:eastAsia="Arial" w:hAnsi="Arial"/>
                <w:b w:val="false"/>
                <w:bCs w:val="false"/>
                <w:color w:val="1A1A1A"/>
                <w:sz w:val="18"/>
                <w:szCs w:val="18"/>
              </w:rPr>
              <w:t xml:space="preserve">14</w:t>
            </w:r>
          </w:p>
        </w:tc>
        <w:tc>
          <w:tcPr>
            <w:tcW w:type="dxa" w:w="1754"/>
            <w:tcBorders>
              <w:top w:val="none" w:color="FFFFFF" w:sz="0"/>
              <w:left w:val="none" w:color="FFFFFF" w:sz="0"/>
              <w:bottom w:val="single" w:color="E2E2DE" w:sz="4"/>
              <w:right w:val="none" w:color="FFFFFF" w:sz="0"/>
            </w:tcBorders>
            <w:shd w:fill="FFFFFF" w:color="auto" w:val="clear"/>
            <w:tcMar>
              <w:top w:type="dxa" w:w="90"/>
              <w:left w:type="dxa" w:w="130"/>
              <w:bottom w:type="dxa" w:w="90"/>
              <w:right w:type="dxa" w:w="130"/>
            </w:tcMar>
          </w:tcPr>
          <w:p>
            <w:pPr>
              <w:jc w:val="right"/>
            </w:pPr>
            <w:r>
              <w:rPr>
                <w:rFonts w:ascii="Arial" w:cs="Arial" w:eastAsia="Arial" w:hAnsi="Arial"/>
                <w:b w:val="false"/>
                <w:bCs w:val="false"/>
                <w:color w:val="1A1A1A"/>
                <w:sz w:val="18"/>
                <w:szCs w:val="18"/>
              </w:rPr>
              <w:t xml:space="preserve">63</w:t>
            </w:r>
          </w:p>
        </w:tc>
        <w:tc>
          <w:tcPr>
            <w:tcW w:type="dxa" w:w="1755"/>
            <w:tcBorders>
              <w:top w:val="none" w:color="FFFFFF" w:sz="0"/>
              <w:left w:val="none" w:color="FFFFFF" w:sz="0"/>
              <w:bottom w:val="single" w:color="E2E2DE" w:sz="4"/>
              <w:right w:val="none" w:color="FFFFFF" w:sz="0"/>
            </w:tcBorders>
            <w:shd w:fill="FFFFFF" w:color="auto" w:val="clear"/>
            <w:tcMar>
              <w:top w:type="dxa" w:w="90"/>
              <w:left w:type="dxa" w:w="130"/>
              <w:bottom w:type="dxa" w:w="90"/>
              <w:right w:type="dxa" w:w="130"/>
            </w:tcMar>
          </w:tcPr>
          <w:p>
            <w:pPr>
              <w:jc w:val="right"/>
            </w:pPr>
            <w:r>
              <w:rPr>
                <w:rFonts w:ascii="Arial" w:cs="Arial" w:eastAsia="Arial" w:hAnsi="Arial"/>
                <w:b w:val="false"/>
                <w:bCs w:val="false"/>
                <w:color w:val="1A1A1A"/>
                <w:sz w:val="18"/>
                <w:szCs w:val="18"/>
              </w:rPr>
              <w:t xml:space="preserve">120</w:t>
            </w:r>
          </w:p>
        </w:tc>
      </w:tr>
      <w:tr>
        <w:trPr>
          <w:tblHeader w:val="false"/>
        </w:trPr>
        <w:tc>
          <w:tcPr>
            <w:tcW w:type="dxa" w:w="4483"/>
            <w:tcBorders>
              <w:top w:val="none" w:color="FFFFFF" w:sz="0"/>
              <w:left w:val="none" w:color="FFFFFF" w:sz="0"/>
              <w:bottom w:val="single" w:color="E2E2DE" w:sz="4"/>
              <w:right w:val="none" w:color="FFFFFF" w:sz="0"/>
            </w:tcBorders>
            <w:shd w:fill="F4F4F1"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Bürgerdialoge und offene Formate</w:t>
            </w:r>
          </w:p>
        </w:tc>
        <w:tc>
          <w:tcPr>
            <w:tcW w:type="dxa" w:w="1754"/>
            <w:tcBorders>
              <w:top w:val="none" w:color="FFFFFF" w:sz="0"/>
              <w:left w:val="none" w:color="FFFFFF" w:sz="0"/>
              <w:bottom w:val="single" w:color="E2E2DE" w:sz="4"/>
              <w:right w:val="none" w:color="FFFFFF" w:sz="0"/>
            </w:tcBorders>
            <w:shd w:fill="F4F4F1" w:color="auto" w:val="clear"/>
            <w:tcMar>
              <w:top w:type="dxa" w:w="90"/>
              <w:left w:type="dxa" w:w="130"/>
              <w:bottom w:type="dxa" w:w="90"/>
              <w:right w:type="dxa" w:w="130"/>
            </w:tcMar>
          </w:tcPr>
          <w:p>
            <w:pPr>
              <w:jc w:val="right"/>
            </w:pPr>
            <w:r>
              <w:rPr>
                <w:rFonts w:ascii="Arial" w:cs="Arial" w:eastAsia="Arial" w:hAnsi="Arial"/>
                <w:b w:val="false"/>
                <w:bCs w:val="false"/>
                <w:color w:val="1A1A1A"/>
                <w:sz w:val="18"/>
                <w:szCs w:val="18"/>
              </w:rPr>
              <w:t xml:space="preserve">8</w:t>
            </w:r>
          </w:p>
        </w:tc>
        <w:tc>
          <w:tcPr>
            <w:tcW w:type="dxa" w:w="1754"/>
            <w:tcBorders>
              <w:top w:val="none" w:color="FFFFFF" w:sz="0"/>
              <w:left w:val="none" w:color="FFFFFF" w:sz="0"/>
              <w:bottom w:val="single" w:color="E2E2DE" w:sz="4"/>
              <w:right w:val="none" w:color="FFFFFF" w:sz="0"/>
            </w:tcBorders>
            <w:shd w:fill="F4F4F1" w:color="auto" w:val="clear"/>
            <w:tcMar>
              <w:top w:type="dxa" w:w="90"/>
              <w:left w:type="dxa" w:w="130"/>
              <w:bottom w:type="dxa" w:w="90"/>
              <w:right w:type="dxa" w:w="130"/>
            </w:tcMar>
          </w:tcPr>
          <w:p>
            <w:pPr>
              <w:jc w:val="right"/>
            </w:pPr>
            <w:r>
              <w:rPr>
                <w:rFonts w:ascii="Arial" w:cs="Arial" w:eastAsia="Arial" w:hAnsi="Arial"/>
                <w:b w:val="false"/>
                <w:bCs w:val="false"/>
                <w:color w:val="1A1A1A"/>
                <w:sz w:val="18"/>
                <w:szCs w:val="18"/>
              </w:rPr>
              <w:t xml:space="preserve">26</w:t>
            </w:r>
          </w:p>
        </w:tc>
        <w:tc>
          <w:tcPr>
            <w:tcW w:type="dxa" w:w="1755"/>
            <w:tcBorders>
              <w:top w:val="none" w:color="FFFFFF" w:sz="0"/>
              <w:left w:val="none" w:color="FFFFFF" w:sz="0"/>
              <w:bottom w:val="single" w:color="E2E2DE" w:sz="4"/>
              <w:right w:val="none" w:color="FFFFFF" w:sz="0"/>
            </w:tcBorders>
            <w:shd w:fill="F4F4F1" w:color="auto" w:val="clear"/>
            <w:tcMar>
              <w:top w:type="dxa" w:w="90"/>
              <w:left w:type="dxa" w:w="130"/>
              <w:bottom w:type="dxa" w:w="90"/>
              <w:right w:type="dxa" w:w="130"/>
            </w:tcMar>
          </w:tcPr>
          <w:p>
            <w:pPr>
              <w:jc w:val="right"/>
            </w:pPr>
            <w:r>
              <w:rPr>
                <w:rFonts w:ascii="Arial" w:cs="Arial" w:eastAsia="Arial" w:hAnsi="Arial"/>
                <w:b w:val="false"/>
                <w:bCs w:val="false"/>
                <w:color w:val="1A1A1A"/>
                <w:sz w:val="18"/>
                <w:szCs w:val="18"/>
              </w:rPr>
              <w:t xml:space="preserve">55</w:t>
            </w:r>
          </w:p>
        </w:tc>
      </w:tr>
      <w:tr>
        <w:trPr>
          <w:tblHeader w:val="false"/>
        </w:trPr>
        <w:tc>
          <w:tcPr>
            <w:tcW w:type="dxa" w:w="4483"/>
            <w:tcBorders>
              <w:top w:val="none" w:color="FFFFFF" w:sz="0"/>
              <w:left w:val="none" w:color="FFFFFF" w:sz="0"/>
              <w:bottom w:val="single" w:color="E2E2DE" w:sz="4"/>
              <w:right w:val="none" w:color="FFFFFF" w:sz="0"/>
            </w:tcBorders>
            <w:shd w:fill="FFFFFF"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Kommunale und institutionelle Partner</w:t>
            </w:r>
          </w:p>
        </w:tc>
        <w:tc>
          <w:tcPr>
            <w:tcW w:type="dxa" w:w="1754"/>
            <w:tcBorders>
              <w:top w:val="none" w:color="FFFFFF" w:sz="0"/>
              <w:left w:val="none" w:color="FFFFFF" w:sz="0"/>
              <w:bottom w:val="single" w:color="E2E2DE" w:sz="4"/>
              <w:right w:val="none" w:color="FFFFFF" w:sz="0"/>
            </w:tcBorders>
            <w:shd w:fill="FFFFFF" w:color="auto" w:val="clear"/>
            <w:tcMar>
              <w:top w:type="dxa" w:w="90"/>
              <w:left w:type="dxa" w:w="130"/>
              <w:bottom w:type="dxa" w:w="90"/>
              <w:right w:type="dxa" w:w="130"/>
            </w:tcMar>
          </w:tcPr>
          <w:p>
            <w:pPr>
              <w:jc w:val="right"/>
            </w:pPr>
            <w:r>
              <w:rPr>
                <w:rFonts w:ascii="Arial" w:cs="Arial" w:eastAsia="Arial" w:hAnsi="Arial"/>
                <w:b w:val="false"/>
                <w:bCs w:val="false"/>
                <w:color w:val="1A1A1A"/>
                <w:sz w:val="18"/>
                <w:szCs w:val="18"/>
              </w:rPr>
              <w:t xml:space="preserve">2</w:t>
            </w:r>
          </w:p>
        </w:tc>
        <w:tc>
          <w:tcPr>
            <w:tcW w:type="dxa" w:w="1754"/>
            <w:tcBorders>
              <w:top w:val="none" w:color="FFFFFF" w:sz="0"/>
              <w:left w:val="none" w:color="FFFFFF" w:sz="0"/>
              <w:bottom w:val="single" w:color="E2E2DE" w:sz="4"/>
              <w:right w:val="none" w:color="FFFFFF" w:sz="0"/>
            </w:tcBorders>
            <w:shd w:fill="FFFFFF" w:color="auto" w:val="clear"/>
            <w:tcMar>
              <w:top w:type="dxa" w:w="90"/>
              <w:left w:type="dxa" w:w="130"/>
              <w:bottom w:type="dxa" w:w="90"/>
              <w:right w:type="dxa" w:w="130"/>
            </w:tcMar>
          </w:tcPr>
          <w:p>
            <w:pPr>
              <w:jc w:val="right"/>
            </w:pPr>
            <w:r>
              <w:rPr>
                <w:rFonts w:ascii="Arial" w:cs="Arial" w:eastAsia="Arial" w:hAnsi="Arial"/>
                <w:b w:val="false"/>
                <w:bCs w:val="false"/>
                <w:color w:val="1A1A1A"/>
                <w:sz w:val="18"/>
                <w:szCs w:val="18"/>
              </w:rPr>
              <w:t xml:space="preserve">6</w:t>
            </w:r>
          </w:p>
        </w:tc>
        <w:tc>
          <w:tcPr>
            <w:tcW w:type="dxa" w:w="1755"/>
            <w:tcBorders>
              <w:top w:val="none" w:color="FFFFFF" w:sz="0"/>
              <w:left w:val="none" w:color="FFFFFF" w:sz="0"/>
              <w:bottom w:val="single" w:color="E2E2DE" w:sz="4"/>
              <w:right w:val="none" w:color="FFFFFF" w:sz="0"/>
            </w:tcBorders>
            <w:shd w:fill="FFFFFF" w:color="auto" w:val="clear"/>
            <w:tcMar>
              <w:top w:type="dxa" w:w="90"/>
              <w:left w:type="dxa" w:w="130"/>
              <w:bottom w:type="dxa" w:w="90"/>
              <w:right w:type="dxa" w:w="130"/>
            </w:tcMar>
          </w:tcPr>
          <w:p>
            <w:pPr>
              <w:jc w:val="right"/>
            </w:pPr>
            <w:r>
              <w:rPr>
                <w:rFonts w:ascii="Arial" w:cs="Arial" w:eastAsia="Arial" w:hAnsi="Arial"/>
                <w:b w:val="false"/>
                <w:bCs w:val="false"/>
                <w:color w:val="1A1A1A"/>
                <w:sz w:val="18"/>
                <w:szCs w:val="18"/>
              </w:rPr>
              <w:t xml:space="preserve">12</w:t>
            </w:r>
          </w:p>
        </w:tc>
      </w:tr>
      <w:tr>
        <w:trPr>
          <w:tblHeader w:val="false"/>
        </w:trPr>
        <w:tc>
          <w:tcPr>
            <w:tcW w:type="dxa" w:w="4483"/>
            <w:tcBorders>
              <w:top w:val="none" w:color="FFFFFF" w:sz="0"/>
              <w:left w:val="none" w:color="FFFFFF" w:sz="0"/>
              <w:bottom w:val="single" w:color="E2E2DE" w:sz="4"/>
              <w:right w:val="none" w:color="FFFFFF" w:sz="0"/>
            </w:tcBorders>
            <w:shd w:fill="F4F4F1"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Cybersecurity- und AI-Safety-Formate</w:t>
            </w:r>
          </w:p>
        </w:tc>
        <w:tc>
          <w:tcPr>
            <w:tcW w:type="dxa" w:w="1754"/>
            <w:tcBorders>
              <w:top w:val="none" w:color="FFFFFF" w:sz="0"/>
              <w:left w:val="none" w:color="FFFFFF" w:sz="0"/>
              <w:bottom w:val="single" w:color="E2E2DE" w:sz="4"/>
              <w:right w:val="none" w:color="FFFFFF" w:sz="0"/>
            </w:tcBorders>
            <w:shd w:fill="F4F4F1" w:color="auto" w:val="clear"/>
            <w:tcMar>
              <w:top w:type="dxa" w:w="90"/>
              <w:left w:type="dxa" w:w="130"/>
              <w:bottom w:type="dxa" w:w="90"/>
              <w:right w:type="dxa" w:w="130"/>
            </w:tcMar>
          </w:tcPr>
          <w:p>
            <w:pPr>
              <w:jc w:val="right"/>
            </w:pPr>
            <w:r>
              <w:rPr>
                <w:rFonts w:ascii="Arial" w:cs="Arial" w:eastAsia="Arial" w:hAnsi="Arial"/>
                <w:b w:val="false"/>
                <w:bCs w:val="false"/>
                <w:color w:val="1A1A1A"/>
                <w:sz w:val="18"/>
                <w:szCs w:val="18"/>
              </w:rPr>
              <w:t xml:space="preserve">5</w:t>
            </w:r>
          </w:p>
        </w:tc>
        <w:tc>
          <w:tcPr>
            <w:tcW w:type="dxa" w:w="1754"/>
            <w:tcBorders>
              <w:top w:val="none" w:color="FFFFFF" w:sz="0"/>
              <w:left w:val="none" w:color="FFFFFF" w:sz="0"/>
              <w:bottom w:val="single" w:color="E2E2DE" w:sz="4"/>
              <w:right w:val="none" w:color="FFFFFF" w:sz="0"/>
            </w:tcBorders>
            <w:shd w:fill="F4F4F1" w:color="auto" w:val="clear"/>
            <w:tcMar>
              <w:top w:type="dxa" w:w="90"/>
              <w:left w:type="dxa" w:w="130"/>
              <w:bottom w:type="dxa" w:w="90"/>
              <w:right w:type="dxa" w:w="130"/>
            </w:tcMar>
          </w:tcPr>
          <w:p>
            <w:pPr>
              <w:jc w:val="right"/>
            </w:pPr>
            <w:r>
              <w:rPr>
                <w:rFonts w:ascii="Arial" w:cs="Arial" w:eastAsia="Arial" w:hAnsi="Arial"/>
                <w:b w:val="false"/>
                <w:bCs w:val="false"/>
                <w:color w:val="1A1A1A"/>
                <w:sz w:val="18"/>
                <w:szCs w:val="18"/>
              </w:rPr>
              <w:t xml:space="preserve">18</w:t>
            </w:r>
          </w:p>
        </w:tc>
        <w:tc>
          <w:tcPr>
            <w:tcW w:type="dxa" w:w="1755"/>
            <w:tcBorders>
              <w:top w:val="none" w:color="FFFFFF" w:sz="0"/>
              <w:left w:val="none" w:color="FFFFFF" w:sz="0"/>
              <w:bottom w:val="single" w:color="E2E2DE" w:sz="4"/>
              <w:right w:val="none" w:color="FFFFFF" w:sz="0"/>
            </w:tcBorders>
            <w:shd w:fill="F4F4F1" w:color="auto" w:val="clear"/>
            <w:tcMar>
              <w:top w:type="dxa" w:w="90"/>
              <w:left w:type="dxa" w:w="130"/>
              <w:bottom w:type="dxa" w:w="90"/>
              <w:right w:type="dxa" w:w="130"/>
            </w:tcMar>
          </w:tcPr>
          <w:p>
            <w:pPr>
              <w:jc w:val="right"/>
            </w:pPr>
            <w:r>
              <w:rPr>
                <w:rFonts w:ascii="Arial" w:cs="Arial" w:eastAsia="Arial" w:hAnsi="Arial"/>
                <w:b w:val="false"/>
                <w:bCs w:val="false"/>
                <w:color w:val="1A1A1A"/>
                <w:sz w:val="18"/>
                <w:szCs w:val="18"/>
              </w:rPr>
              <w:t xml:space="preserve">40</w:t>
            </w:r>
          </w:p>
        </w:tc>
      </w:tr>
      <w:tr>
        <w:trPr>
          <w:tblHeader w:val="false"/>
        </w:trPr>
        <w:tc>
          <w:tcPr>
            <w:tcW w:type="dxa" w:w="4483"/>
            <w:tcBorders>
              <w:top w:val="none" w:color="FFFFFF" w:sz="0"/>
              <w:left w:val="none" w:color="FFFFFF" w:sz="0"/>
              <w:bottom w:val="single" w:color="E2E2DE" w:sz="4"/>
              <w:right w:val="none" w:color="FFFFFF" w:sz="0"/>
            </w:tcBorders>
            <w:shd w:fill="FFFFFF"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Forschungs- und Hochschulkooperationen</w:t>
            </w:r>
          </w:p>
        </w:tc>
        <w:tc>
          <w:tcPr>
            <w:tcW w:type="dxa" w:w="1754"/>
            <w:tcBorders>
              <w:top w:val="none" w:color="FFFFFF" w:sz="0"/>
              <w:left w:val="none" w:color="FFFFFF" w:sz="0"/>
              <w:bottom w:val="single" w:color="E2E2DE" w:sz="4"/>
              <w:right w:val="none" w:color="FFFFFF" w:sz="0"/>
            </w:tcBorders>
            <w:shd w:fill="FFFFFF" w:color="auto" w:val="clear"/>
            <w:tcMar>
              <w:top w:type="dxa" w:w="90"/>
              <w:left w:type="dxa" w:w="130"/>
              <w:bottom w:type="dxa" w:w="90"/>
              <w:right w:type="dxa" w:w="130"/>
            </w:tcMar>
          </w:tcPr>
          <w:p>
            <w:pPr>
              <w:jc w:val="right"/>
            </w:pPr>
            <w:r>
              <w:rPr>
                <w:rFonts w:ascii="Arial" w:cs="Arial" w:eastAsia="Arial" w:hAnsi="Arial"/>
                <w:b w:val="false"/>
                <w:bCs w:val="false"/>
                <w:color w:val="1A1A1A"/>
                <w:sz w:val="18"/>
                <w:szCs w:val="18"/>
              </w:rPr>
              <w:t xml:space="preserve">2</w:t>
            </w:r>
          </w:p>
        </w:tc>
        <w:tc>
          <w:tcPr>
            <w:tcW w:type="dxa" w:w="1754"/>
            <w:tcBorders>
              <w:top w:val="none" w:color="FFFFFF" w:sz="0"/>
              <w:left w:val="none" w:color="FFFFFF" w:sz="0"/>
              <w:bottom w:val="single" w:color="E2E2DE" w:sz="4"/>
              <w:right w:val="none" w:color="FFFFFF" w:sz="0"/>
            </w:tcBorders>
            <w:shd w:fill="FFFFFF" w:color="auto" w:val="clear"/>
            <w:tcMar>
              <w:top w:type="dxa" w:w="90"/>
              <w:left w:type="dxa" w:w="130"/>
              <w:bottom w:type="dxa" w:w="90"/>
              <w:right w:type="dxa" w:w="130"/>
            </w:tcMar>
          </w:tcPr>
          <w:p>
            <w:pPr>
              <w:jc w:val="right"/>
            </w:pPr>
            <w:r>
              <w:rPr>
                <w:rFonts w:ascii="Arial" w:cs="Arial" w:eastAsia="Arial" w:hAnsi="Arial"/>
                <w:b w:val="false"/>
                <w:bCs w:val="false"/>
                <w:color w:val="1A1A1A"/>
                <w:sz w:val="18"/>
                <w:szCs w:val="18"/>
              </w:rPr>
              <w:t xml:space="preserve">5</w:t>
            </w:r>
          </w:p>
        </w:tc>
        <w:tc>
          <w:tcPr>
            <w:tcW w:type="dxa" w:w="1755"/>
            <w:tcBorders>
              <w:top w:val="none" w:color="FFFFFF" w:sz="0"/>
              <w:left w:val="none" w:color="FFFFFF" w:sz="0"/>
              <w:bottom w:val="single" w:color="E2E2DE" w:sz="4"/>
              <w:right w:val="none" w:color="FFFFFF" w:sz="0"/>
            </w:tcBorders>
            <w:shd w:fill="FFFFFF" w:color="auto" w:val="clear"/>
            <w:tcMar>
              <w:top w:type="dxa" w:w="90"/>
              <w:left w:type="dxa" w:w="130"/>
              <w:bottom w:type="dxa" w:w="90"/>
              <w:right w:type="dxa" w:w="130"/>
            </w:tcMar>
          </w:tcPr>
          <w:p>
            <w:pPr>
              <w:jc w:val="right"/>
            </w:pPr>
            <w:r>
              <w:rPr>
                <w:rFonts w:ascii="Arial" w:cs="Arial" w:eastAsia="Arial" w:hAnsi="Arial"/>
                <w:b w:val="false"/>
                <w:bCs w:val="false"/>
                <w:color w:val="1A1A1A"/>
                <w:sz w:val="18"/>
                <w:szCs w:val="18"/>
              </w:rPr>
              <w:t xml:space="preserve">9</w:t>
            </w:r>
          </w:p>
        </w:tc>
      </w:tr>
      <w:tr>
        <w:trPr>
          <w:tblHeader w:val="false"/>
        </w:trPr>
        <w:tc>
          <w:tcPr>
            <w:tcW w:type="dxa" w:w="4483"/>
            <w:tcBorders>
              <w:top w:val="none" w:color="FFFFFF" w:sz="0"/>
              <w:left w:val="none" w:color="FFFFFF" w:sz="0"/>
              <w:bottom w:val="single" w:color="E2E2DE" w:sz="4"/>
              <w:right w:val="none" w:color="FFFFFF" w:sz="0"/>
            </w:tcBorders>
            <w:shd w:fill="F4F4F1"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Unternehmen, die an offenen Formaten teilnehmen</w:t>
            </w:r>
          </w:p>
        </w:tc>
        <w:tc>
          <w:tcPr>
            <w:tcW w:type="dxa" w:w="1754"/>
            <w:tcBorders>
              <w:top w:val="none" w:color="FFFFFF" w:sz="0"/>
              <w:left w:val="none" w:color="FFFFFF" w:sz="0"/>
              <w:bottom w:val="single" w:color="E2E2DE" w:sz="4"/>
              <w:right w:val="none" w:color="FFFFFF" w:sz="0"/>
            </w:tcBorders>
            <w:shd w:fill="F4F4F1" w:color="auto" w:val="clear"/>
            <w:tcMar>
              <w:top w:type="dxa" w:w="90"/>
              <w:left w:type="dxa" w:w="130"/>
              <w:bottom w:type="dxa" w:w="90"/>
              <w:right w:type="dxa" w:w="130"/>
            </w:tcMar>
          </w:tcPr>
          <w:p>
            <w:pPr>
              <w:jc w:val="right"/>
            </w:pPr>
            <w:r>
              <w:rPr>
                <w:rFonts w:ascii="Arial" w:cs="Arial" w:eastAsia="Arial" w:hAnsi="Arial"/>
                <w:b w:val="false"/>
                <w:bCs w:val="false"/>
                <w:color w:val="1A1A1A"/>
                <w:sz w:val="18"/>
                <w:szCs w:val="18"/>
              </w:rPr>
              <w:t xml:space="preserve">35</w:t>
            </w:r>
          </w:p>
        </w:tc>
        <w:tc>
          <w:tcPr>
            <w:tcW w:type="dxa" w:w="1754"/>
            <w:tcBorders>
              <w:top w:val="none" w:color="FFFFFF" w:sz="0"/>
              <w:left w:val="none" w:color="FFFFFF" w:sz="0"/>
              <w:bottom w:val="single" w:color="E2E2DE" w:sz="4"/>
              <w:right w:val="none" w:color="FFFFFF" w:sz="0"/>
            </w:tcBorders>
            <w:shd w:fill="F4F4F1" w:color="auto" w:val="clear"/>
            <w:tcMar>
              <w:top w:type="dxa" w:w="90"/>
              <w:left w:type="dxa" w:w="130"/>
              <w:bottom w:type="dxa" w:w="90"/>
              <w:right w:type="dxa" w:w="130"/>
            </w:tcMar>
          </w:tcPr>
          <w:p>
            <w:pPr>
              <w:jc w:val="right"/>
            </w:pPr>
            <w:r>
              <w:rPr>
                <w:rFonts w:ascii="Arial" w:cs="Arial" w:eastAsia="Arial" w:hAnsi="Arial"/>
                <w:b w:val="false"/>
                <w:bCs w:val="false"/>
                <w:color w:val="1A1A1A"/>
                <w:sz w:val="18"/>
                <w:szCs w:val="18"/>
              </w:rPr>
              <w:t xml:space="preserve">140</w:t>
            </w:r>
          </w:p>
        </w:tc>
        <w:tc>
          <w:tcPr>
            <w:tcW w:type="dxa" w:w="1755"/>
            <w:tcBorders>
              <w:top w:val="none" w:color="FFFFFF" w:sz="0"/>
              <w:left w:val="none" w:color="FFFFFF" w:sz="0"/>
              <w:bottom w:val="single" w:color="E2E2DE" w:sz="4"/>
              <w:right w:val="none" w:color="FFFFFF" w:sz="0"/>
            </w:tcBorders>
            <w:shd w:fill="F4F4F1" w:color="auto" w:val="clear"/>
            <w:tcMar>
              <w:top w:type="dxa" w:w="90"/>
              <w:left w:type="dxa" w:w="130"/>
              <w:bottom w:type="dxa" w:w="90"/>
              <w:right w:type="dxa" w:w="130"/>
            </w:tcMar>
          </w:tcPr>
          <w:p>
            <w:pPr>
              <w:jc w:val="right"/>
            </w:pPr>
            <w:r>
              <w:rPr>
                <w:rFonts w:ascii="Arial" w:cs="Arial" w:eastAsia="Arial" w:hAnsi="Arial"/>
                <w:b w:val="false"/>
                <w:bCs w:val="false"/>
                <w:color w:val="1A1A1A"/>
                <w:sz w:val="18"/>
                <w:szCs w:val="18"/>
              </w:rPr>
              <w:t xml:space="preserve">320</w:t>
            </w:r>
          </w:p>
        </w:tc>
      </w:tr>
    </w:tbl>
    <w:p>
      <w:pPr>
        <w:spacing w:after="110" w:line="280"/>
      </w:pPr>
      <w:r>
        <w:rPr>
          <w:rFonts w:ascii="Arial" w:cs="Arial" w:eastAsia="Arial" w:hAnsi="Arial"/>
          <w:b w:val="false"/>
          <w:bCs w:val="false"/>
          <w:i w:val="false"/>
          <w:iCs w:val="false"/>
          <w:color w:val="1A1A1A"/>
          <w:sz w:val="20"/>
          <w:szCs w:val="20"/>
        </w:rPr>
        <w:t xml:space="preserve"/>
      </w:r>
    </w:p>
    <w:p>
      <w:pPr>
        <w:spacing w:after="110" w:line="280"/>
      </w:pPr>
      <w:r>
        <w:rPr>
          <w:rFonts w:ascii="Arial" w:cs="Arial" w:eastAsia="Arial" w:hAnsi="Arial"/>
          <w:b w:val="false"/>
          <w:bCs w:val="false"/>
          <w:i/>
          <w:iCs/>
          <w:color w:val="7A7F85"/>
          <w:sz w:val="17"/>
          <w:szCs w:val="17"/>
        </w:rPr>
        <w:t xml:space="preserve">Diese Werte sind Planungsannahmen des Gründerteams, keine externen Marktdaten und keine Zusagen. Sie werden ab Monat 4 quartalsweise gemessen und an Partner, Kommunen und Kapitalgeber berichtet. Bewusst niedriger angesetzt als in Version 3 des Konzepts, weil messbare Zahlen mehr wert sind als beeindruckende.</w:t>
      </w:r>
    </w:p>
    <w:p>
      <w:r>
        <w:br w:type="page"/>
      </w:r>
    </w:p>
    <w:p>
      <w:pPr>
        <w:pStyle w:val="Heading1"/>
        <w:pBdr>
          <w:bottom w:val="single" w:color="E4452B" w:sz="6" w:space="7"/>
        </w:pBdr>
        <w:spacing w:after="60" w:before="380"/>
      </w:pPr>
      <w:r>
        <w:rPr>
          <w:rFonts w:ascii="Arial" w:cs="Arial" w:eastAsia="Arial" w:hAnsi="Arial"/>
          <w:b/>
          <w:bCs/>
          <w:color w:val="15171A"/>
          <w:sz w:val="30"/>
          <w:szCs w:val="30"/>
        </w:rPr>
        <w:t xml:space="preserve">6. Was am Standort passiert</w:t>
      </w:r>
    </w:p>
    <w:p>
      <w:pPr>
        <w:spacing w:after="110" w:line="280"/>
      </w:pPr>
      <w:r>
        <w:rPr>
          <w:rFonts w:ascii="Arial" w:cs="Arial" w:eastAsia="Arial" w:hAnsi="Arial"/>
          <w:b w:val="false"/>
          <w:bCs w:val="false"/>
          <w:i w:val="false"/>
          <w:iCs w:val="false"/>
          <w:color w:val="1A1A1A"/>
          <w:sz w:val="20"/>
          <w:szCs w:val="20"/>
        </w:rPr>
        <w:t xml:space="preserve">Fünf Funktionsbereiche auf einer Fläche von rund 400 m². Jeder Bereich bedient mehrere der fünf Felder gleichzeitig – das ist die Voraussetzung dafür, dass der Kreislauf aus Kapitel 4 funktioniert.</w:t>
      </w:r>
    </w:p>
    <w:tbl>
      <w:tblPr>
        <w:tblW w:type="dxa" w:w="974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559"/>
        <w:gridCol w:w="3703"/>
        <w:gridCol w:w="2144"/>
        <w:gridCol w:w="2340"/>
      </w:tblGrid>
      <w:tr>
        <w:trPr>
          <w:tblHeader/>
        </w:trPr>
        <w:tc>
          <w:tcPr>
            <w:tcW w:type="dxa" w:w="1559"/>
            <w:tcBorders>
              <w:top w:val="none" w:color="FFFFFF" w:sz="0"/>
              <w:left w:val="none" w:color="FFFFFF" w:sz="0"/>
              <w:bottom w:val="single" w:color="E2E2DE" w:sz="4"/>
              <w:right w:val="none" w:color="FFFFFF" w:sz="0"/>
            </w:tcBorders>
            <w:shd w:fill="15171A" w:color="auto" w:val="clear"/>
            <w:tcMar>
              <w:top w:type="dxa" w:w="90"/>
              <w:left w:type="dxa" w:w="130"/>
              <w:bottom w:type="dxa" w:w="90"/>
              <w:right w:type="dxa" w:w="130"/>
            </w:tcMar>
          </w:tcPr>
          <w:p>
            <w:pPr>
              <w:jc w:val="left"/>
            </w:pPr>
            <w:r>
              <w:rPr>
                <w:rFonts w:ascii="Arial" w:cs="Arial" w:eastAsia="Arial" w:hAnsi="Arial"/>
                <w:b/>
                <w:bCs/>
                <w:color w:val="FFFFFF"/>
                <w:sz w:val="18"/>
                <w:szCs w:val="18"/>
              </w:rPr>
              <w:t xml:space="preserve">Bereich</w:t>
            </w:r>
          </w:p>
        </w:tc>
        <w:tc>
          <w:tcPr>
            <w:tcW w:type="dxa" w:w="3703"/>
            <w:tcBorders>
              <w:top w:val="none" w:color="FFFFFF" w:sz="0"/>
              <w:left w:val="none" w:color="FFFFFF" w:sz="0"/>
              <w:bottom w:val="single" w:color="E2E2DE" w:sz="4"/>
              <w:right w:val="none" w:color="FFFFFF" w:sz="0"/>
            </w:tcBorders>
            <w:shd w:fill="15171A" w:color="auto" w:val="clear"/>
            <w:tcMar>
              <w:top w:type="dxa" w:w="90"/>
              <w:left w:type="dxa" w:w="130"/>
              <w:bottom w:type="dxa" w:w="90"/>
              <w:right w:type="dxa" w:w="130"/>
            </w:tcMar>
          </w:tcPr>
          <w:p>
            <w:pPr>
              <w:jc w:val="left"/>
            </w:pPr>
            <w:r>
              <w:rPr>
                <w:rFonts w:ascii="Arial" w:cs="Arial" w:eastAsia="Arial" w:hAnsi="Arial"/>
                <w:b/>
                <w:bCs/>
                <w:color w:val="FFFFFF"/>
                <w:sz w:val="18"/>
                <w:szCs w:val="18"/>
              </w:rPr>
              <w:t xml:space="preserve">Was dort geschieht</w:t>
            </w:r>
          </w:p>
        </w:tc>
        <w:tc>
          <w:tcPr>
            <w:tcW w:type="dxa" w:w="2144"/>
            <w:tcBorders>
              <w:top w:val="none" w:color="FFFFFF" w:sz="0"/>
              <w:left w:val="none" w:color="FFFFFF" w:sz="0"/>
              <w:bottom w:val="single" w:color="E2E2DE" w:sz="4"/>
              <w:right w:val="none" w:color="FFFFFF" w:sz="0"/>
            </w:tcBorders>
            <w:shd w:fill="15171A" w:color="auto" w:val="clear"/>
            <w:tcMar>
              <w:top w:type="dxa" w:w="90"/>
              <w:left w:type="dxa" w:w="130"/>
              <w:bottom w:type="dxa" w:w="90"/>
              <w:right w:type="dxa" w:w="130"/>
            </w:tcMar>
          </w:tcPr>
          <w:p>
            <w:pPr>
              <w:jc w:val="left"/>
            </w:pPr>
            <w:r>
              <w:rPr>
                <w:rFonts w:ascii="Arial" w:cs="Arial" w:eastAsia="Arial" w:hAnsi="Arial"/>
                <w:b/>
                <w:bCs/>
                <w:color w:val="FFFFFF"/>
                <w:sz w:val="18"/>
                <w:szCs w:val="18"/>
              </w:rPr>
              <w:t xml:space="preserve">Bedient welche Felder</w:t>
            </w:r>
          </w:p>
        </w:tc>
        <w:tc>
          <w:tcPr>
            <w:tcW w:type="dxa" w:w="2340"/>
            <w:tcBorders>
              <w:top w:val="none" w:color="FFFFFF" w:sz="0"/>
              <w:left w:val="none" w:color="FFFFFF" w:sz="0"/>
              <w:bottom w:val="single" w:color="E2E2DE" w:sz="4"/>
              <w:right w:val="none" w:color="FFFFFF" w:sz="0"/>
            </w:tcBorders>
            <w:shd w:fill="15171A" w:color="auto" w:val="clear"/>
            <w:tcMar>
              <w:top w:type="dxa" w:w="90"/>
              <w:left w:type="dxa" w:w="130"/>
              <w:bottom w:type="dxa" w:w="90"/>
              <w:right w:type="dxa" w:w="130"/>
            </w:tcMar>
          </w:tcPr>
          <w:p>
            <w:pPr>
              <w:jc w:val="left"/>
            </w:pPr>
            <w:r>
              <w:rPr>
                <w:rFonts w:ascii="Arial" w:cs="Arial" w:eastAsia="Arial" w:hAnsi="Arial"/>
                <w:b/>
                <w:bCs/>
                <w:color w:val="FFFFFF"/>
                <w:sz w:val="18"/>
                <w:szCs w:val="18"/>
              </w:rPr>
              <w:t xml:space="preserve">Erlöslogik</w:t>
            </w:r>
          </w:p>
        </w:tc>
      </w:tr>
      <w:tr>
        <w:trPr>
          <w:tblHeader w:val="false"/>
        </w:trPr>
        <w:tc>
          <w:tcPr>
            <w:tcW w:type="dxa" w:w="1559"/>
            <w:tcBorders>
              <w:top w:val="none" w:color="FFFFFF" w:sz="0"/>
              <w:left w:val="none" w:color="FFFFFF" w:sz="0"/>
              <w:bottom w:val="single" w:color="E2E2DE" w:sz="4"/>
              <w:right w:val="none" w:color="FFFFFF" w:sz="0"/>
            </w:tcBorders>
            <w:shd w:fill="FFFFFF"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Showroom &amp; Experience</w:t>
            </w:r>
          </w:p>
        </w:tc>
        <w:tc>
          <w:tcPr>
            <w:tcW w:type="dxa" w:w="3703"/>
            <w:tcBorders>
              <w:top w:val="none" w:color="FFFFFF" w:sz="0"/>
              <w:left w:val="none" w:color="FFFFFF" w:sz="0"/>
              <w:bottom w:val="single" w:color="E2E2DE" w:sz="4"/>
              <w:right w:val="none" w:color="FFFFFF" w:sz="0"/>
            </w:tcBorders>
            <w:shd w:fill="FFFFFF"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Roboter live sehen, testen, vergleichen: Industrie, Cobots, humanoide Robotik, Service-, Reinigungs-, Logistik-, Inspektions- und Outdoor-Robotik</w:t>
            </w:r>
          </w:p>
        </w:tc>
        <w:tc>
          <w:tcPr>
            <w:tcW w:type="dxa" w:w="2144"/>
            <w:tcBorders>
              <w:top w:val="none" w:color="FFFFFF" w:sz="0"/>
              <w:left w:val="none" w:color="FFFFFF" w:sz="0"/>
              <w:bottom w:val="single" w:color="E2E2DE" w:sz="4"/>
              <w:right w:val="none" w:color="FFFFFF" w:sz="0"/>
            </w:tcBorders>
            <w:shd w:fill="FFFFFF"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Technik, Unternehmen, Gesellschaft</w:t>
            </w:r>
          </w:p>
        </w:tc>
        <w:tc>
          <w:tcPr>
            <w:tcW w:type="dxa" w:w="2340"/>
            <w:tcBorders>
              <w:top w:val="none" w:color="FFFFFF" w:sz="0"/>
              <w:left w:val="none" w:color="FFFFFF" w:sz="0"/>
              <w:bottom w:val="single" w:color="E2E2DE" w:sz="4"/>
              <w:right w:val="none" w:color="FFFFFF" w:sz="0"/>
            </w:tcBorders>
            <w:shd w:fill="FFFFFF"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Provision, Flächenpakete, Demo-Pakete</w:t>
            </w:r>
          </w:p>
        </w:tc>
      </w:tr>
      <w:tr>
        <w:trPr>
          <w:tblHeader w:val="false"/>
        </w:trPr>
        <w:tc>
          <w:tcPr>
            <w:tcW w:type="dxa" w:w="1559"/>
            <w:tcBorders>
              <w:top w:val="none" w:color="FFFFFF" w:sz="0"/>
              <w:left w:val="none" w:color="FFFFFF" w:sz="0"/>
              <w:bottom w:val="single" w:color="E2E2DE" w:sz="4"/>
              <w:right w:val="none" w:color="FFFFFF" w:sz="0"/>
            </w:tcBorders>
            <w:shd w:fill="F4F4F1"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AI Agent Bar</w:t>
            </w:r>
          </w:p>
        </w:tc>
        <w:tc>
          <w:tcPr>
            <w:tcW w:type="dxa" w:w="3703"/>
            <w:tcBorders>
              <w:top w:val="none" w:color="FFFFFF" w:sz="0"/>
              <w:left w:val="none" w:color="FFFFFF" w:sz="0"/>
              <w:bottom w:val="single" w:color="E2E2DE" w:sz="4"/>
              <w:right w:val="none" w:color="FFFFFF" w:sz="0"/>
            </w:tcBorders>
            <w:shd w:fill="F4F4F1"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Kund:innen kommen mit Laptop oder Handy; AI Agents, Automationen und Systemverknüpfungen werden direkt eingerichtet und übergeben</w:t>
            </w:r>
          </w:p>
        </w:tc>
        <w:tc>
          <w:tcPr>
            <w:tcW w:type="dxa" w:w="2144"/>
            <w:tcBorders>
              <w:top w:val="none" w:color="FFFFFF" w:sz="0"/>
              <w:left w:val="none" w:color="FFFFFF" w:sz="0"/>
              <w:bottom w:val="single" w:color="E2E2DE" w:sz="4"/>
              <w:right w:val="none" w:color="FFFFFF" w:sz="0"/>
            </w:tcBorders>
            <w:shd w:fill="F4F4F1"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Unternehmen, Gesellschaft</w:t>
            </w:r>
          </w:p>
        </w:tc>
        <w:tc>
          <w:tcPr>
            <w:tcW w:type="dxa" w:w="2340"/>
            <w:tcBorders>
              <w:top w:val="none" w:color="FFFFFF" w:sz="0"/>
              <w:left w:val="none" w:color="FFFFFF" w:sz="0"/>
              <w:bottom w:val="single" w:color="E2E2DE" w:sz="4"/>
              <w:right w:val="none" w:color="FFFFFF" w:sz="0"/>
            </w:tcBorders>
            <w:shd w:fill="F4F4F1"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Setup-Gebühren, Workshops, Folgeprojekte</w:t>
            </w:r>
          </w:p>
        </w:tc>
      </w:tr>
      <w:tr>
        <w:trPr>
          <w:tblHeader w:val="false"/>
        </w:trPr>
        <w:tc>
          <w:tcPr>
            <w:tcW w:type="dxa" w:w="1559"/>
            <w:tcBorders>
              <w:top w:val="none" w:color="FFFFFF" w:sz="0"/>
              <w:left w:val="none" w:color="FFFFFF" w:sz="0"/>
              <w:bottom w:val="single" w:color="E2E2DE" w:sz="4"/>
              <w:right w:val="none" w:color="FFFFFF" w:sz="0"/>
            </w:tcBorders>
            <w:shd w:fill="FFFFFF"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Robo Lab</w:t>
            </w:r>
          </w:p>
        </w:tc>
        <w:tc>
          <w:tcPr>
            <w:tcW w:type="dxa" w:w="3703"/>
            <w:tcBorders>
              <w:top w:val="none" w:color="FFFFFF" w:sz="0"/>
              <w:left w:val="none" w:color="FFFFFF" w:sz="0"/>
              <w:bottom w:val="single" w:color="E2E2DE" w:sz="4"/>
              <w:right w:val="none" w:color="FFFFFF" w:sz="0"/>
            </w:tcBorders>
            <w:shd w:fill="FFFFFF"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Proof-of-Concepts, Testaufbauten, Prozesssimulation, Sicherheitsprüfung, Integration – und im Bildungsmodus Erlebnisstationen für Klassen</w:t>
            </w:r>
          </w:p>
        </w:tc>
        <w:tc>
          <w:tcPr>
            <w:tcW w:type="dxa" w:w="2144"/>
            <w:tcBorders>
              <w:top w:val="none" w:color="FFFFFF" w:sz="0"/>
              <w:left w:val="none" w:color="FFFFFF" w:sz="0"/>
              <w:bottom w:val="single" w:color="E2E2DE" w:sz="4"/>
              <w:right w:val="none" w:color="FFFFFF" w:sz="0"/>
            </w:tcBorders>
            <w:shd w:fill="FFFFFF"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Unternehmen, Forschung, Lehre</w:t>
            </w:r>
          </w:p>
        </w:tc>
        <w:tc>
          <w:tcPr>
            <w:tcW w:type="dxa" w:w="2340"/>
            <w:tcBorders>
              <w:top w:val="none" w:color="FFFFFF" w:sz="0"/>
              <w:left w:val="none" w:color="FFFFFF" w:sz="0"/>
              <w:bottom w:val="single" w:color="E2E2DE" w:sz="4"/>
              <w:right w:val="none" w:color="FFFFFF" w:sz="0"/>
            </w:tcBorders>
            <w:shd w:fill="FFFFFF"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PoC-Projekte, Integrationspakete, Workshopgebühren</w:t>
            </w:r>
          </w:p>
        </w:tc>
      </w:tr>
      <w:tr>
        <w:trPr>
          <w:tblHeader w:val="false"/>
        </w:trPr>
        <w:tc>
          <w:tcPr>
            <w:tcW w:type="dxa" w:w="1559"/>
            <w:tcBorders>
              <w:top w:val="none" w:color="FFFFFF" w:sz="0"/>
              <w:left w:val="none" w:color="FFFFFF" w:sz="0"/>
              <w:bottom w:val="single" w:color="E2E2DE" w:sz="4"/>
              <w:right w:val="none" w:color="FFFFFF" w:sz="0"/>
            </w:tcBorders>
            <w:shd w:fill="F4F4F1"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Servicepoint</w:t>
            </w:r>
          </w:p>
        </w:tc>
        <w:tc>
          <w:tcPr>
            <w:tcW w:type="dxa" w:w="3703"/>
            <w:tcBorders>
              <w:top w:val="none" w:color="FFFFFF" w:sz="0"/>
              <w:left w:val="none" w:color="FFFFFF" w:sz="0"/>
              <w:bottom w:val="single" w:color="E2E2DE" w:sz="4"/>
              <w:right w:val="none" w:color="FFFFFF" w:sz="0"/>
            </w:tcBorders>
            <w:shd w:fill="F4F4F1"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Wartung, Updates, Schulung, Herstellervertretung, technische Annahme, regionale Betreuung</w:t>
            </w:r>
          </w:p>
        </w:tc>
        <w:tc>
          <w:tcPr>
            <w:tcW w:type="dxa" w:w="2144"/>
            <w:tcBorders>
              <w:top w:val="none" w:color="FFFFFF" w:sz="0"/>
              <w:left w:val="none" w:color="FFFFFF" w:sz="0"/>
              <w:bottom w:val="single" w:color="E2E2DE" w:sz="4"/>
              <w:right w:val="none" w:color="FFFFFF" w:sz="0"/>
            </w:tcBorders>
            <w:shd w:fill="F4F4F1"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Technik, Unternehmen</w:t>
            </w:r>
          </w:p>
        </w:tc>
        <w:tc>
          <w:tcPr>
            <w:tcW w:type="dxa" w:w="2340"/>
            <w:tcBorders>
              <w:top w:val="none" w:color="FFFFFF" w:sz="0"/>
              <w:left w:val="none" w:color="FFFFFF" w:sz="0"/>
              <w:bottom w:val="single" w:color="E2E2DE" w:sz="4"/>
              <w:right w:val="none" w:color="FFFFFF" w:sz="0"/>
            </w:tcBorders>
            <w:shd w:fill="F4F4F1"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Serviceverträge, Retainer, Herstellerprovision</w:t>
            </w:r>
          </w:p>
        </w:tc>
      </w:tr>
      <w:tr>
        <w:trPr>
          <w:tblHeader w:val="false"/>
        </w:trPr>
        <w:tc>
          <w:tcPr>
            <w:tcW w:type="dxa" w:w="1559"/>
            <w:tcBorders>
              <w:top w:val="none" w:color="FFFFFF" w:sz="0"/>
              <w:left w:val="none" w:color="FFFFFF" w:sz="0"/>
              <w:bottom w:val="single" w:color="E2E2DE" w:sz="4"/>
              <w:right w:val="none" w:color="FFFFFF" w:sz="0"/>
            </w:tcBorders>
            <w:shd w:fill="FFFFFF"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Forum &amp; Academy</w:t>
            </w:r>
          </w:p>
        </w:tc>
        <w:tc>
          <w:tcPr>
            <w:tcW w:type="dxa" w:w="3703"/>
            <w:tcBorders>
              <w:top w:val="none" w:color="FFFFFF" w:sz="0"/>
              <w:left w:val="none" w:color="FFFFFF" w:sz="0"/>
              <w:bottom w:val="single" w:color="E2E2DE" w:sz="4"/>
              <w:right w:val="none" w:color="FFFFFF" w:sz="0"/>
            </w:tcBorders>
            <w:shd w:fill="FFFFFF"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Workshops, Branchentage, Bürgerabende, offene Sprechstunden, Lehrkräftefortbildung, Reihe „Robotics, AI &amp; Society“</w:t>
            </w:r>
          </w:p>
        </w:tc>
        <w:tc>
          <w:tcPr>
            <w:tcW w:type="dxa" w:w="2144"/>
            <w:tcBorders>
              <w:top w:val="none" w:color="FFFFFF" w:sz="0"/>
              <w:left w:val="none" w:color="FFFFFF" w:sz="0"/>
              <w:bottom w:val="single" w:color="E2E2DE" w:sz="4"/>
              <w:right w:val="none" w:color="FFFFFF" w:sz="0"/>
            </w:tcBorders>
            <w:shd w:fill="FFFFFF"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alle fünf</w:t>
            </w:r>
          </w:p>
        </w:tc>
        <w:tc>
          <w:tcPr>
            <w:tcW w:type="dxa" w:w="2340"/>
            <w:tcBorders>
              <w:top w:val="none" w:color="FFFFFF" w:sz="0"/>
              <w:left w:val="none" w:color="FFFFFF" w:sz="0"/>
              <w:bottom w:val="single" w:color="E2E2DE" w:sz="4"/>
              <w:right w:val="none" w:color="FFFFFF" w:sz="0"/>
            </w:tcBorders>
            <w:shd w:fill="FFFFFF"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Tickets, Sponsoring, kommunale Pakete, Förderprojekte</w:t>
            </w:r>
          </w:p>
        </w:tc>
      </w:tr>
    </w:tbl>
    <w:p>
      <w:pPr>
        <w:spacing w:after="110" w:line="280"/>
      </w:pPr>
      <w:r>
        <w:rPr>
          <w:rFonts w:ascii="Arial" w:cs="Arial" w:eastAsia="Arial" w:hAnsi="Arial"/>
          <w:b w:val="false"/>
          <w:bCs w:val="false"/>
          <w:i w:val="false"/>
          <w:iCs w:val="false"/>
          <w:color w:val="1A1A1A"/>
          <w:sz w:val="20"/>
          <w:szCs w:val="20"/>
        </w:rPr>
        <w:t xml:space="preserve"/>
      </w:r>
    </w:p>
    <w:p>
      <w:pPr>
        <w:pStyle w:val="Heading3"/>
        <w:spacing w:after="30" w:before="180"/>
      </w:pPr>
      <w:r>
        <w:rPr>
          <w:rFonts w:ascii="Arial" w:cs="Arial" w:eastAsia="Arial" w:hAnsi="Arial"/>
          <w:b/>
          <w:bCs/>
          <w:color w:val="7A7F85"/>
          <w:sz w:val="20"/>
          <w:szCs w:val="20"/>
        </w:rPr>
        <w:t xml:space="preserve">Robo Lab on Tour – der Knotenpunkt wird mobil</w:t>
      </w:r>
    </w:p>
    <w:p>
      <w:pPr>
        <w:spacing w:after="110" w:line="280"/>
      </w:pPr>
      <w:r>
        <w:rPr>
          <w:rFonts w:ascii="Arial" w:cs="Arial" w:eastAsia="Arial" w:hAnsi="Arial"/>
          <w:b w:val="false"/>
          <w:bCs w:val="false"/>
          <w:i w:val="false"/>
          <w:iCs w:val="false"/>
          <w:color w:val="1A1A1A"/>
          <w:sz w:val="20"/>
          <w:szCs w:val="20"/>
        </w:rPr>
        <w:t xml:space="preserve">Ein modularer Transporter mit Demo-Robotern, Drohnensimulation, AI-Agent-Stationen, Sensorik und Sicherheitsmaterial fährt zu Schulen, Kitas, Berufsschulen, Bürgerhäusern, Kommunen, Vereinen, Stadtfesten und Unternehmen. Er funktioniert wie ein modernes Spielmobil für Robotik und KI.</w:t>
      </w:r>
    </w:p>
    <w:p>
      <w:pPr>
        <w:pStyle w:val="ListParagraph"/>
        <w:numPr>
          <w:ilvl w:val="0"/>
          <w:numId w:val="3"/>
        </w:numPr>
        <w:spacing w:after="60" w:line="270"/>
      </w:pPr>
      <w:r>
        <w:rPr>
          <w:rFonts w:ascii="Arial" w:cs="Arial" w:eastAsia="Arial" w:hAnsi="Arial"/>
          <w:b w:val="false"/>
          <w:bCs w:val="false"/>
          <w:i w:val="false"/>
          <w:iCs w:val="false"/>
          <w:color w:val="1A1A1A"/>
          <w:sz w:val="20"/>
          <w:szCs w:val="20"/>
        </w:rPr>
        <w:t xml:space="preserve">Er erschließt Zielgruppen, die nie in einen Showroom kämen – und erreicht damit genau die Menschen, deren Akzeptanz später über Automatisierungsprojekte entscheidet.</w:t>
      </w:r>
    </w:p>
    <w:p>
      <w:pPr>
        <w:pStyle w:val="ListParagraph"/>
        <w:numPr>
          <w:ilvl w:val="0"/>
          <w:numId w:val="3"/>
        </w:numPr>
        <w:spacing w:after="60" w:line="270"/>
      </w:pPr>
      <w:r>
        <w:rPr>
          <w:rFonts w:ascii="Arial" w:cs="Arial" w:eastAsia="Arial" w:hAnsi="Arial"/>
          <w:b w:val="false"/>
          <w:bCs w:val="false"/>
          <w:i w:val="false"/>
          <w:iCs w:val="false"/>
          <w:color w:val="1A1A1A"/>
          <w:sz w:val="20"/>
          <w:szCs w:val="20"/>
        </w:rPr>
        <w:t xml:space="preserve">Er macht ROBANTIS für Kommunen zu einem buchbaren Angebot statt zu einem Gesprächsangebot.</w:t>
      </w:r>
    </w:p>
    <w:p>
      <w:pPr>
        <w:pStyle w:val="ListParagraph"/>
        <w:numPr>
          <w:ilvl w:val="0"/>
          <w:numId w:val="3"/>
        </w:numPr>
        <w:spacing w:after="60" w:line="270"/>
      </w:pPr>
      <w:r>
        <w:rPr>
          <w:rFonts w:ascii="Arial" w:cs="Arial" w:eastAsia="Arial" w:hAnsi="Arial"/>
          <w:b w:val="false"/>
          <w:bCs w:val="false"/>
          <w:i w:val="false"/>
          <w:iCs w:val="false"/>
          <w:color w:val="1A1A1A"/>
          <w:sz w:val="20"/>
          <w:szCs w:val="20"/>
        </w:rPr>
        <w:t xml:space="preserve">Er ist die Skalierungsstufe vor dem Franchise: Reichweite ohne zweite Immobilie.</w:t>
      </w:r>
    </w:p>
    <w:p>
      <w:pPr>
        <w:pStyle w:val="ListParagraph"/>
        <w:numPr>
          <w:ilvl w:val="0"/>
          <w:numId w:val="3"/>
        </w:numPr>
        <w:spacing w:after="60" w:line="270"/>
      </w:pPr>
      <w:r>
        <w:rPr>
          <w:rFonts w:ascii="Arial" w:cs="Arial" w:eastAsia="Arial" w:hAnsi="Arial"/>
          <w:b w:val="false"/>
          <w:bCs w:val="false"/>
          <w:i w:val="false"/>
          <w:iCs w:val="false"/>
          <w:color w:val="1A1A1A"/>
          <w:sz w:val="20"/>
          <w:szCs w:val="20"/>
        </w:rPr>
        <w:t xml:space="preserve">Er öffnet Förder- und Sponsoringlogiken, die einem reinen Handelsbetrieb verschlossen bleiben.</w:t>
      </w:r>
    </w:p>
    <w:p>
      <w:r>
        <w:br w:type="page"/>
      </w:r>
    </w:p>
    <w:p>
      <w:pPr>
        <w:pStyle w:val="Heading1"/>
        <w:pBdr>
          <w:bottom w:val="single" w:color="E4452B" w:sz="6" w:space="7"/>
        </w:pBdr>
        <w:spacing w:after="60" w:before="380"/>
      </w:pPr>
      <w:r>
        <w:rPr>
          <w:rFonts w:ascii="Arial" w:cs="Arial" w:eastAsia="Arial" w:hAnsi="Arial"/>
          <w:b/>
          <w:bCs/>
          <w:color w:val="15171A"/>
          <w:sz w:val="30"/>
          <w:szCs w:val="30"/>
        </w:rPr>
        <w:t xml:space="preserve">7. Warum Heidelberg und die Metropolregion Rhein-Neckar</w:t>
      </w:r>
    </w:p>
    <w:p>
      <w:pPr>
        <w:spacing w:after="110" w:line="280"/>
      </w:pPr>
      <w:r>
        <w:rPr>
          <w:rFonts w:ascii="Arial" w:cs="Arial" w:eastAsia="Arial" w:hAnsi="Arial"/>
          <w:b w:val="false"/>
          <w:bCs w:val="false"/>
          <w:i w:val="false"/>
          <w:iCs w:val="false"/>
          <w:color w:val="1A1A1A"/>
          <w:sz w:val="20"/>
          <w:szCs w:val="20"/>
        </w:rPr>
        <w:t xml:space="preserve">Der Standort ist nicht beliebig. Ein Knotenpunkt braucht ein Umfeld, in dem alle fünf Felder tatsächlich vorhanden und dicht beieinander sind. Rhein-Neckar ist eine der wenigen Regionen in Deutschland, auf die das zutrifft.</w:t>
      </w:r>
    </w:p>
    <w:tbl>
      <w:tblPr>
        <w:tblW w:type="dxa" w:w="974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559"/>
        <w:gridCol w:w="8187"/>
      </w:tblGrid>
      <w:tr>
        <w:trPr>
          <w:tblHeader/>
        </w:trPr>
        <w:tc>
          <w:tcPr>
            <w:tcW w:type="dxa" w:w="1559"/>
            <w:tcBorders>
              <w:top w:val="none" w:color="FFFFFF" w:sz="0"/>
              <w:left w:val="none" w:color="FFFFFF" w:sz="0"/>
              <w:bottom w:val="single" w:color="E2E2DE" w:sz="4"/>
              <w:right w:val="none" w:color="FFFFFF" w:sz="0"/>
            </w:tcBorders>
            <w:shd w:fill="15171A" w:color="auto" w:val="clear"/>
            <w:tcMar>
              <w:top w:type="dxa" w:w="90"/>
              <w:left w:type="dxa" w:w="130"/>
              <w:bottom w:type="dxa" w:w="90"/>
              <w:right w:type="dxa" w:w="130"/>
            </w:tcMar>
          </w:tcPr>
          <w:p>
            <w:pPr>
              <w:jc w:val="left"/>
            </w:pPr>
            <w:r>
              <w:rPr>
                <w:rFonts w:ascii="Arial" w:cs="Arial" w:eastAsia="Arial" w:hAnsi="Arial"/>
                <w:b/>
                <w:bCs/>
                <w:color w:val="FFFFFF"/>
                <w:sz w:val="18"/>
                <w:szCs w:val="18"/>
              </w:rPr>
              <w:t xml:space="preserve">Feld</w:t>
            </w:r>
          </w:p>
        </w:tc>
        <w:tc>
          <w:tcPr>
            <w:tcW w:type="dxa" w:w="8187"/>
            <w:tcBorders>
              <w:top w:val="none" w:color="FFFFFF" w:sz="0"/>
              <w:left w:val="none" w:color="FFFFFF" w:sz="0"/>
              <w:bottom w:val="single" w:color="E2E2DE" w:sz="4"/>
              <w:right w:val="none" w:color="FFFFFF" w:sz="0"/>
            </w:tcBorders>
            <w:shd w:fill="15171A" w:color="auto" w:val="clear"/>
            <w:tcMar>
              <w:top w:type="dxa" w:w="90"/>
              <w:left w:type="dxa" w:w="130"/>
              <w:bottom w:type="dxa" w:w="90"/>
              <w:right w:type="dxa" w:w="130"/>
            </w:tcMar>
          </w:tcPr>
          <w:p>
            <w:pPr>
              <w:jc w:val="left"/>
            </w:pPr>
            <w:r>
              <w:rPr>
                <w:rFonts w:ascii="Arial" w:cs="Arial" w:eastAsia="Arial" w:hAnsi="Arial"/>
                <w:b/>
                <w:bCs/>
                <w:color w:val="FFFFFF"/>
                <w:sz w:val="18"/>
                <w:szCs w:val="18"/>
              </w:rPr>
              <w:t xml:space="preserve">Was die Region bietet</w:t>
            </w:r>
          </w:p>
        </w:tc>
      </w:tr>
      <w:tr>
        <w:trPr>
          <w:tblHeader w:val="false"/>
        </w:trPr>
        <w:tc>
          <w:tcPr>
            <w:tcW w:type="dxa" w:w="1559"/>
            <w:tcBorders>
              <w:top w:val="none" w:color="FFFFFF" w:sz="0"/>
              <w:left w:val="none" w:color="FFFFFF" w:sz="0"/>
              <w:bottom w:val="single" w:color="E2E2DE" w:sz="4"/>
              <w:right w:val="none" w:color="FFFFFF" w:sz="0"/>
            </w:tcBorders>
            <w:shd w:fill="FFFFFF"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Unternehmen</w:t>
            </w:r>
          </w:p>
        </w:tc>
        <w:tc>
          <w:tcPr>
            <w:tcW w:type="dxa" w:w="8187"/>
            <w:tcBorders>
              <w:top w:val="none" w:color="FFFFFF" w:sz="0"/>
              <w:left w:val="none" w:color="FFFFFF" w:sz="0"/>
              <w:bottom w:val="single" w:color="E2E2DE" w:sz="4"/>
              <w:right w:val="none" w:color="FFFFFF" w:sz="0"/>
            </w:tcBorders>
            <w:shd w:fill="FFFFFF"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Rund 160.000 Unternehmen bei 2,4 Mio. Einwohnern; Weltkonzerne wie BASF, SAP und Roche neben einer außergewöhnlichen Dichte an Hidden Champions und Mittelstand</w:t>
            </w:r>
          </w:p>
        </w:tc>
      </w:tr>
      <w:tr>
        <w:trPr>
          <w:tblHeader w:val="false"/>
        </w:trPr>
        <w:tc>
          <w:tcPr>
            <w:tcW w:type="dxa" w:w="1559"/>
            <w:tcBorders>
              <w:top w:val="none" w:color="FFFFFF" w:sz="0"/>
              <w:left w:val="none" w:color="FFFFFF" w:sz="0"/>
              <w:bottom w:val="single" w:color="E2E2DE" w:sz="4"/>
              <w:right w:val="none" w:color="FFFFFF" w:sz="0"/>
            </w:tcBorders>
            <w:shd w:fill="F4F4F1"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Forschung</w:t>
            </w:r>
          </w:p>
        </w:tc>
        <w:tc>
          <w:tcPr>
            <w:tcW w:type="dxa" w:w="8187"/>
            <w:tcBorders>
              <w:top w:val="none" w:color="FFFFFF" w:sz="0"/>
              <w:left w:val="none" w:color="FFFFFF" w:sz="0"/>
              <w:bottom w:val="single" w:color="E2E2DE" w:sz="4"/>
              <w:right w:val="none" w:color="FFFFFF" w:sz="0"/>
            </w:tcBorders>
            <w:shd w:fill="F4F4F1"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22 Hochschulen sowie außeruniversitäre Einrichtungen; im Großraum Mannheim–Heidelberg–Ludwigshafen arbeiten mehr als doppelt so viele Fachkräfte in der Forschung wie im Bundesdurchschnitt</w:t>
            </w:r>
          </w:p>
        </w:tc>
      </w:tr>
      <w:tr>
        <w:trPr>
          <w:tblHeader w:val="false"/>
        </w:trPr>
        <w:tc>
          <w:tcPr>
            <w:tcW w:type="dxa" w:w="1559"/>
            <w:tcBorders>
              <w:top w:val="none" w:color="FFFFFF" w:sz="0"/>
              <w:left w:val="none" w:color="FFFFFF" w:sz="0"/>
              <w:bottom w:val="single" w:color="E2E2DE" w:sz="4"/>
              <w:right w:val="none" w:color="FFFFFF" w:sz="0"/>
            </w:tcBorders>
            <w:shd w:fill="FFFFFF"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Lehre</w:t>
            </w:r>
          </w:p>
        </w:tc>
        <w:tc>
          <w:tcPr>
            <w:tcW w:type="dxa" w:w="8187"/>
            <w:tcBorders>
              <w:top w:val="none" w:color="FFFFFF" w:sz="0"/>
              <w:left w:val="none" w:color="FFFFFF" w:sz="0"/>
              <w:bottom w:val="single" w:color="E2E2DE" w:sz="4"/>
              <w:right w:val="none" w:color="FFFFFF" w:sz="0"/>
            </w:tcBorders>
            <w:shd w:fill="FFFFFF"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Dichtes Netz aus Schulen, Berufsschulen, Kammern und Bildungsträgern in drei Bundesländern</w:t>
            </w:r>
          </w:p>
        </w:tc>
      </w:tr>
      <w:tr>
        <w:trPr>
          <w:tblHeader w:val="false"/>
        </w:trPr>
        <w:tc>
          <w:tcPr>
            <w:tcW w:type="dxa" w:w="1559"/>
            <w:tcBorders>
              <w:top w:val="none" w:color="FFFFFF" w:sz="0"/>
              <w:left w:val="none" w:color="FFFFFF" w:sz="0"/>
              <w:bottom w:val="single" w:color="E2E2DE" w:sz="4"/>
              <w:right w:val="none" w:color="FFFFFF" w:sz="0"/>
            </w:tcBorders>
            <w:shd w:fill="F4F4F1"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Gesellschaft</w:t>
            </w:r>
          </w:p>
        </w:tc>
        <w:tc>
          <w:tcPr>
            <w:tcW w:type="dxa" w:w="8187"/>
            <w:tcBorders>
              <w:top w:val="none" w:color="FFFFFF" w:sz="0"/>
              <w:left w:val="none" w:color="FFFFFF" w:sz="0"/>
              <w:bottom w:val="single" w:color="E2E2DE" w:sz="4"/>
              <w:right w:val="none" w:color="FFFFFF" w:sz="0"/>
            </w:tcBorders>
            <w:shd w:fill="F4F4F1"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15 Stadt- und Landkreise mit 290 Kommunen und einem seit 2006 institutionalisierten Public-Private-Partnership-Modell zwischen Verwaltung, Wirtschaft und Wissenschaft</w:t>
            </w:r>
          </w:p>
        </w:tc>
      </w:tr>
      <w:tr>
        <w:trPr>
          <w:tblHeader w:val="false"/>
        </w:trPr>
        <w:tc>
          <w:tcPr>
            <w:tcW w:type="dxa" w:w="1559"/>
            <w:tcBorders>
              <w:top w:val="none" w:color="FFFFFF" w:sz="0"/>
              <w:left w:val="none" w:color="FFFFFF" w:sz="0"/>
              <w:bottom w:val="single" w:color="E2E2DE" w:sz="4"/>
              <w:right w:val="none" w:color="FFFFFF" w:sz="0"/>
            </w:tcBorders>
            <w:shd w:fill="FFFFFF"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Technik</w:t>
            </w:r>
          </w:p>
        </w:tc>
        <w:tc>
          <w:tcPr>
            <w:tcW w:type="dxa" w:w="8187"/>
            <w:tcBorders>
              <w:top w:val="none" w:color="FFFFFF" w:sz="0"/>
              <w:left w:val="none" w:color="FFFFFF" w:sz="0"/>
              <w:bottom w:val="single" w:color="E2E2DE" w:sz="4"/>
              <w:right w:val="none" w:color="FFFFFF" w:sz="0"/>
            </w:tcBorders>
            <w:shd w:fill="FFFFFF"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Etablierte Robotik- und Automatisierungsindustrie, Digital Hub Kurpfalz und Heidelberg Innovation Park als bestehende Andockpunkte</w:t>
            </w:r>
          </w:p>
        </w:tc>
      </w:tr>
    </w:tbl>
    <w:p>
      <w:pPr>
        <w:spacing w:after="110" w:line="280"/>
      </w:pPr>
      <w:r>
        <w:rPr>
          <w:rFonts w:ascii="Arial" w:cs="Arial" w:eastAsia="Arial" w:hAnsi="Arial"/>
          <w:b w:val="false"/>
          <w:bCs w:val="false"/>
          <w:i w:val="false"/>
          <w:iCs w:val="false"/>
          <w:color w:val="1A1A1A"/>
          <w:sz w:val="20"/>
          <w:szCs w:val="20"/>
        </w:rPr>
        <w:t xml:space="preserve"/>
      </w:r>
    </w:p>
    <w:p>
      <w:pPr>
        <w:spacing w:after="110" w:line="280"/>
      </w:pPr>
      <w:r>
        <w:rPr>
          <w:rFonts w:ascii="Arial" w:cs="Arial" w:eastAsia="Arial" w:hAnsi="Arial"/>
          <w:b w:val="false"/>
          <w:bCs w:val="false"/>
          <w:i w:val="false"/>
          <w:iCs w:val="false"/>
          <w:color w:val="1A1A1A"/>
          <w:sz w:val="20"/>
          <w:szCs w:val="20"/>
        </w:rPr>
        <w:t xml:space="preserve">Hinzu kommt die Förderlandschaft Baden-Württembergs: Start-up BW Pre-Seed, L-Bank-Programme, Bürgschaftsbank BW und regionale Innovationsgutscheine sind auf genau solche Vorhaben zugeschnitten (Details im Businessplan, Kapitel 2).</w:t>
      </w:r>
    </w:p>
    <w:p>
      <w:pPr>
        <w:pStyle w:val="Heading1"/>
        <w:pBdr>
          <w:bottom w:val="single" w:color="E4452B" w:sz="6" w:space="7"/>
        </w:pBdr>
        <w:spacing w:after="60" w:before="380"/>
      </w:pPr>
      <w:r>
        <w:rPr>
          <w:rFonts w:ascii="Arial" w:cs="Arial" w:eastAsia="Arial" w:hAnsi="Arial"/>
          <w:b/>
          <w:bCs/>
          <w:color w:val="15171A"/>
          <w:sz w:val="30"/>
          <w:szCs w:val="30"/>
        </w:rPr>
        <w:t xml:space="preserve">8. Aufbau in Phasen</w:t>
      </w:r>
    </w:p>
    <w:p>
      <w:pPr>
        <w:spacing w:after="110" w:line="280"/>
      </w:pPr>
      <w:r>
        <w:rPr>
          <w:rFonts w:ascii="Arial" w:cs="Arial" w:eastAsia="Arial" w:hAnsi="Arial"/>
          <w:b w:val="false"/>
          <w:bCs w:val="false"/>
          <w:i w:val="false"/>
          <w:iCs w:val="false"/>
          <w:color w:val="1A1A1A"/>
          <w:sz w:val="20"/>
          <w:szCs w:val="20"/>
        </w:rPr>
        <w:t xml:space="preserve">Der Start ist bewusst schmal. Alle fünf Felder sind aber von Anfang an in Architektur, Personalprofilen, Partnergesprächen und Finanzierung angelegt – sonst entsteht später ein Fremdkörper statt eines Ausbaupfads.</w:t>
      </w:r>
    </w:p>
    <w:tbl>
      <w:tblPr>
        <w:tblW w:type="dxa" w:w="974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559"/>
        <w:gridCol w:w="1559"/>
        <w:gridCol w:w="4288"/>
        <w:gridCol w:w="2340"/>
      </w:tblGrid>
      <w:tr>
        <w:trPr>
          <w:tblHeader/>
        </w:trPr>
        <w:tc>
          <w:tcPr>
            <w:tcW w:type="dxa" w:w="1559"/>
            <w:tcBorders>
              <w:top w:val="none" w:color="FFFFFF" w:sz="0"/>
              <w:left w:val="none" w:color="FFFFFF" w:sz="0"/>
              <w:bottom w:val="single" w:color="E2E2DE" w:sz="4"/>
              <w:right w:val="none" w:color="FFFFFF" w:sz="0"/>
            </w:tcBorders>
            <w:shd w:fill="15171A" w:color="auto" w:val="clear"/>
            <w:tcMar>
              <w:top w:type="dxa" w:w="90"/>
              <w:left w:type="dxa" w:w="130"/>
              <w:bottom w:type="dxa" w:w="90"/>
              <w:right w:type="dxa" w:w="130"/>
            </w:tcMar>
          </w:tcPr>
          <w:p>
            <w:pPr>
              <w:jc w:val="left"/>
            </w:pPr>
            <w:r>
              <w:rPr>
                <w:rFonts w:ascii="Arial" w:cs="Arial" w:eastAsia="Arial" w:hAnsi="Arial"/>
                <w:b/>
                <w:bCs/>
                <w:color w:val="FFFFFF"/>
                <w:sz w:val="18"/>
                <w:szCs w:val="18"/>
              </w:rPr>
              <w:t xml:space="preserve">Phase</w:t>
            </w:r>
          </w:p>
        </w:tc>
        <w:tc>
          <w:tcPr>
            <w:tcW w:type="dxa" w:w="1559"/>
            <w:tcBorders>
              <w:top w:val="none" w:color="FFFFFF" w:sz="0"/>
              <w:left w:val="none" w:color="FFFFFF" w:sz="0"/>
              <w:bottom w:val="single" w:color="E2E2DE" w:sz="4"/>
              <w:right w:val="none" w:color="FFFFFF" w:sz="0"/>
            </w:tcBorders>
            <w:shd w:fill="15171A" w:color="auto" w:val="clear"/>
            <w:tcMar>
              <w:top w:type="dxa" w:w="90"/>
              <w:left w:type="dxa" w:w="130"/>
              <w:bottom w:type="dxa" w:w="90"/>
              <w:right w:type="dxa" w:w="130"/>
            </w:tcMar>
          </w:tcPr>
          <w:p>
            <w:pPr>
              <w:jc w:val="left"/>
            </w:pPr>
            <w:r>
              <w:rPr>
                <w:rFonts w:ascii="Arial" w:cs="Arial" w:eastAsia="Arial" w:hAnsi="Arial"/>
                <w:b/>
                <w:bCs/>
                <w:color w:val="FFFFFF"/>
                <w:sz w:val="18"/>
                <w:szCs w:val="18"/>
              </w:rPr>
              <w:t xml:space="preserve">Zeitraum</w:t>
            </w:r>
          </w:p>
        </w:tc>
        <w:tc>
          <w:tcPr>
            <w:tcW w:type="dxa" w:w="4288"/>
            <w:tcBorders>
              <w:top w:val="none" w:color="FFFFFF" w:sz="0"/>
              <w:left w:val="none" w:color="FFFFFF" w:sz="0"/>
              <w:bottom w:val="single" w:color="E2E2DE" w:sz="4"/>
              <w:right w:val="none" w:color="FFFFFF" w:sz="0"/>
            </w:tcBorders>
            <w:shd w:fill="15171A" w:color="auto" w:val="clear"/>
            <w:tcMar>
              <w:top w:type="dxa" w:w="90"/>
              <w:left w:type="dxa" w:w="130"/>
              <w:bottom w:type="dxa" w:w="90"/>
              <w:right w:type="dxa" w:w="130"/>
            </w:tcMar>
          </w:tcPr>
          <w:p>
            <w:pPr>
              <w:jc w:val="left"/>
            </w:pPr>
            <w:r>
              <w:rPr>
                <w:rFonts w:ascii="Arial" w:cs="Arial" w:eastAsia="Arial" w:hAnsi="Arial"/>
                <w:b/>
                <w:bCs/>
                <w:color w:val="FFFFFF"/>
                <w:sz w:val="18"/>
                <w:szCs w:val="18"/>
              </w:rPr>
              <w:t xml:space="preserve">Schwerpunkt</w:t>
            </w:r>
          </w:p>
        </w:tc>
        <w:tc>
          <w:tcPr>
            <w:tcW w:type="dxa" w:w="2340"/>
            <w:tcBorders>
              <w:top w:val="none" w:color="FFFFFF" w:sz="0"/>
              <w:left w:val="none" w:color="FFFFFF" w:sz="0"/>
              <w:bottom w:val="single" w:color="E2E2DE" w:sz="4"/>
              <w:right w:val="none" w:color="FFFFFF" w:sz="0"/>
            </w:tcBorders>
            <w:shd w:fill="15171A" w:color="auto" w:val="clear"/>
            <w:tcMar>
              <w:top w:type="dxa" w:w="90"/>
              <w:left w:type="dxa" w:w="130"/>
              <w:bottom w:type="dxa" w:w="90"/>
              <w:right w:type="dxa" w:w="130"/>
            </w:tcMar>
          </w:tcPr>
          <w:p>
            <w:pPr>
              <w:jc w:val="left"/>
            </w:pPr>
            <w:r>
              <w:rPr>
                <w:rFonts w:ascii="Arial" w:cs="Arial" w:eastAsia="Arial" w:hAnsi="Arial"/>
                <w:b/>
                <w:bCs/>
                <w:color w:val="FFFFFF"/>
                <w:sz w:val="18"/>
                <w:szCs w:val="18"/>
              </w:rPr>
              <w:t xml:space="preserve">Ergebnis am Ende</w:t>
            </w:r>
          </w:p>
        </w:tc>
      </w:tr>
      <w:tr>
        <w:trPr>
          <w:tblHeader w:val="false"/>
        </w:trPr>
        <w:tc>
          <w:tcPr>
            <w:tcW w:type="dxa" w:w="1559"/>
            <w:tcBorders>
              <w:top w:val="none" w:color="FFFFFF" w:sz="0"/>
              <w:left w:val="none" w:color="FFFFFF" w:sz="0"/>
              <w:bottom w:val="single" w:color="E2E2DE" w:sz="4"/>
              <w:right w:val="none" w:color="FFFFFF" w:sz="0"/>
            </w:tcBorders>
            <w:shd w:fill="FFFFFF"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1 – Aufbau</w:t>
            </w:r>
          </w:p>
        </w:tc>
        <w:tc>
          <w:tcPr>
            <w:tcW w:type="dxa" w:w="1559"/>
            <w:tcBorders>
              <w:top w:val="none" w:color="FFFFFF" w:sz="0"/>
              <w:left w:val="none" w:color="FFFFFF" w:sz="0"/>
              <w:bottom w:val="single" w:color="E2E2DE" w:sz="4"/>
              <w:right w:val="none" w:color="FFFFFF" w:sz="0"/>
            </w:tcBorders>
            <w:shd w:fill="FFFFFF"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Monat 1–3</w:t>
            </w:r>
          </w:p>
        </w:tc>
        <w:tc>
          <w:tcPr>
            <w:tcW w:type="dxa" w:w="4288"/>
            <w:tcBorders>
              <w:top w:val="none" w:color="FFFFFF" w:sz="0"/>
              <w:left w:val="none" w:color="FFFFFF" w:sz="0"/>
              <w:bottom w:val="single" w:color="E2E2DE" w:sz="4"/>
              <w:right w:val="none" w:color="FFFFFF" w:sz="0"/>
            </w:tcBorders>
            <w:shd w:fill="FFFFFF"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Standort, Marke, Team, Demo-Portfolio, Preispakete, erste Herstellerverträge, Landingpage</w:t>
            </w:r>
          </w:p>
        </w:tc>
        <w:tc>
          <w:tcPr>
            <w:tcW w:type="dxa" w:w="2340"/>
            <w:tcBorders>
              <w:top w:val="none" w:color="FFFFFF" w:sz="0"/>
              <w:left w:val="none" w:color="FFFFFF" w:sz="0"/>
              <w:bottom w:val="single" w:color="E2E2DE" w:sz="4"/>
              <w:right w:val="none" w:color="FFFFFF" w:sz="0"/>
            </w:tcBorders>
            <w:shd w:fill="FFFFFF"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Betriebs- und Partnerfähigkeit</w:t>
            </w:r>
          </w:p>
        </w:tc>
      </w:tr>
      <w:tr>
        <w:trPr>
          <w:tblHeader w:val="false"/>
        </w:trPr>
        <w:tc>
          <w:tcPr>
            <w:tcW w:type="dxa" w:w="1559"/>
            <w:tcBorders>
              <w:top w:val="none" w:color="FFFFFF" w:sz="0"/>
              <w:left w:val="none" w:color="FFFFFF" w:sz="0"/>
              <w:bottom w:val="single" w:color="E2E2DE" w:sz="4"/>
              <w:right w:val="none" w:color="FFFFFF" w:sz="0"/>
            </w:tcBorders>
            <w:shd w:fill="F4F4F1"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2 – Soft Launch</w:t>
            </w:r>
          </w:p>
        </w:tc>
        <w:tc>
          <w:tcPr>
            <w:tcW w:type="dxa" w:w="1559"/>
            <w:tcBorders>
              <w:top w:val="none" w:color="FFFFFF" w:sz="0"/>
              <w:left w:val="none" w:color="FFFFFF" w:sz="0"/>
              <w:bottom w:val="single" w:color="E2E2DE" w:sz="4"/>
              <w:right w:val="none" w:color="FFFFFF" w:sz="0"/>
            </w:tcBorders>
            <w:shd w:fill="F4F4F1"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Monat 4–6</w:t>
            </w:r>
          </w:p>
        </w:tc>
        <w:tc>
          <w:tcPr>
            <w:tcW w:type="dxa" w:w="4288"/>
            <w:tcBorders>
              <w:top w:val="none" w:color="FFFFFF" w:sz="0"/>
              <w:left w:val="none" w:color="FFFFFF" w:sz="0"/>
              <w:bottom w:val="single" w:color="E2E2DE" w:sz="4"/>
              <w:right w:val="none" w:color="FFFFFF" w:sz="0"/>
            </w:tcBorders>
            <w:shd w:fill="F4F4F1"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AI Agent Bar, Showroom-Demos, erste B2B-Workshops, erste offene Abende, Terra-Robotics-Partnerschaft konkretisieren</w:t>
            </w:r>
          </w:p>
        </w:tc>
        <w:tc>
          <w:tcPr>
            <w:tcW w:type="dxa" w:w="2340"/>
            <w:tcBorders>
              <w:top w:val="none" w:color="FFFFFF" w:sz="0"/>
              <w:left w:val="none" w:color="FFFFFF" w:sz="0"/>
              <w:bottom w:val="single" w:color="E2E2DE" w:sz="4"/>
              <w:right w:val="none" w:color="FFFFFF" w:sz="0"/>
            </w:tcBorders>
            <w:shd w:fill="F4F4F1"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Nachfragebeweis</w:t>
            </w:r>
          </w:p>
        </w:tc>
      </w:tr>
      <w:tr>
        <w:trPr>
          <w:tblHeader w:val="false"/>
        </w:trPr>
        <w:tc>
          <w:tcPr>
            <w:tcW w:type="dxa" w:w="1559"/>
            <w:tcBorders>
              <w:top w:val="none" w:color="FFFFFF" w:sz="0"/>
              <w:left w:val="none" w:color="FFFFFF" w:sz="0"/>
              <w:bottom w:val="single" w:color="E2E2DE" w:sz="4"/>
              <w:right w:val="none" w:color="FFFFFF" w:sz="0"/>
            </w:tcBorders>
            <w:shd w:fill="FFFFFF"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3 – Vollbetrieb</w:t>
            </w:r>
          </w:p>
        </w:tc>
        <w:tc>
          <w:tcPr>
            <w:tcW w:type="dxa" w:w="1559"/>
            <w:tcBorders>
              <w:top w:val="none" w:color="FFFFFF" w:sz="0"/>
              <w:left w:val="none" w:color="FFFFFF" w:sz="0"/>
              <w:bottom w:val="single" w:color="E2E2DE" w:sz="4"/>
              <w:right w:val="none" w:color="FFFFFF" w:sz="0"/>
            </w:tcBorders>
            <w:shd w:fill="FFFFFF"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Monat 7–12</w:t>
            </w:r>
          </w:p>
        </w:tc>
        <w:tc>
          <w:tcPr>
            <w:tcW w:type="dxa" w:w="4288"/>
            <w:tcBorders>
              <w:top w:val="none" w:color="FFFFFF" w:sz="0"/>
              <w:left w:val="none" w:color="FFFFFF" w:sz="0"/>
              <w:bottom w:val="single" w:color="E2E2DE" w:sz="4"/>
              <w:right w:val="none" w:color="FFFFFF" w:sz="0"/>
            </w:tcBorders>
            <w:shd w:fill="FFFFFF"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Robo Lab, Servicepoint, Herstellerflächen, erste PoCs, Schulklassen-Workshops, Lehrkräfteformate, Start Robo Lab on Tour</w:t>
            </w:r>
          </w:p>
        </w:tc>
        <w:tc>
          <w:tcPr>
            <w:tcW w:type="dxa" w:w="2340"/>
            <w:tcBorders>
              <w:top w:val="none" w:color="FFFFFF" w:sz="0"/>
              <w:left w:val="none" w:color="FFFFFF" w:sz="0"/>
              <w:bottom w:val="single" w:color="E2E2DE" w:sz="4"/>
              <w:right w:val="none" w:color="FFFFFF" w:sz="0"/>
            </w:tcBorders>
            <w:shd w:fill="FFFFFF"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Wiederholbares Geschäftsmodell</w:t>
            </w:r>
          </w:p>
        </w:tc>
      </w:tr>
      <w:tr>
        <w:trPr>
          <w:tblHeader w:val="false"/>
        </w:trPr>
        <w:tc>
          <w:tcPr>
            <w:tcW w:type="dxa" w:w="1559"/>
            <w:tcBorders>
              <w:top w:val="none" w:color="FFFFFF" w:sz="0"/>
              <w:left w:val="none" w:color="FFFFFF" w:sz="0"/>
              <w:bottom w:val="single" w:color="E2E2DE" w:sz="4"/>
              <w:right w:val="none" w:color="FFFFFF" w:sz="0"/>
            </w:tcBorders>
            <w:shd w:fill="F4F4F1"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4 – Verankerung</w:t>
            </w:r>
          </w:p>
        </w:tc>
        <w:tc>
          <w:tcPr>
            <w:tcW w:type="dxa" w:w="1559"/>
            <w:tcBorders>
              <w:top w:val="none" w:color="FFFFFF" w:sz="0"/>
              <w:left w:val="none" w:color="FFFFFF" w:sz="0"/>
              <w:bottom w:val="single" w:color="E2E2DE" w:sz="4"/>
              <w:right w:val="none" w:color="FFFFFF" w:sz="0"/>
            </w:tcBorders>
            <w:shd w:fill="F4F4F1"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Monat 13–24</w:t>
            </w:r>
          </w:p>
        </w:tc>
        <w:tc>
          <w:tcPr>
            <w:tcW w:type="dxa" w:w="4288"/>
            <w:tcBorders>
              <w:top w:val="none" w:color="FFFFFF" w:sz="0"/>
              <w:left w:val="none" w:color="FFFFFF" w:sz="0"/>
              <w:bottom w:val="single" w:color="E2E2DE" w:sz="4"/>
              <w:right w:val="none" w:color="FFFFFF" w:sz="0"/>
            </w:tcBorders>
            <w:shd w:fill="F4F4F1"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Kommunale Rahmenprogramme, Cybersecurity-Reihe, Forschungskooperationen, Retainer-Basis, Franchise-Handbuch</w:t>
            </w:r>
          </w:p>
        </w:tc>
        <w:tc>
          <w:tcPr>
            <w:tcW w:type="dxa" w:w="2340"/>
            <w:tcBorders>
              <w:top w:val="none" w:color="FFFFFF" w:sz="0"/>
              <w:left w:val="none" w:color="FFFFFF" w:sz="0"/>
              <w:bottom w:val="single" w:color="E2E2DE" w:sz="4"/>
              <w:right w:val="none" w:color="FFFFFF" w:sz="0"/>
            </w:tcBorders>
            <w:shd w:fill="F4F4F1"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Regionale Infrastruktur und Franchise-Reife</w:t>
            </w:r>
          </w:p>
        </w:tc>
      </w:tr>
    </w:tbl>
    <w:p>
      <w:pPr>
        <w:spacing w:after="110" w:line="280"/>
      </w:pPr>
      <w:r>
        <w:rPr>
          <w:rFonts w:ascii="Arial" w:cs="Arial" w:eastAsia="Arial" w:hAnsi="Arial"/>
          <w:b w:val="false"/>
          <w:bCs w:val="false"/>
          <w:i w:val="false"/>
          <w:iCs w:val="false"/>
          <w:color w:val="1A1A1A"/>
          <w:sz w:val="20"/>
          <w:szCs w:val="20"/>
        </w:rPr>
        <w:t xml:space="preserve"/>
      </w:r>
    </w:p>
    <w:tbl>
      <w:tblPr>
        <w:tblW w:type="dxa" w:w="9746"/>
        <w:tblBorders>
          <w:top w:val="none" w:color="FFFFFF" w:sz="0"/>
          <w:left w:val="single" w:color="E4452B" w:sz="12"/>
          <w:bottom w:val="none" w:color="FFFFFF" w:sz="0"/>
          <w:right w:val="none" w:color="FFFFFF" w:sz="0"/>
          <w:insideH w:val="none" w:color="FFFFFF" w:sz="0"/>
          <w:insideV w:val="none" w:color="FFFFFF" w:sz="0"/>
        </w:tblBorders>
        <w:tblLayout w:type="fixed"/>
      </w:tblPr>
      <w:tblGrid>
        <w:gridCol w:w="9746"/>
      </w:tblGrid>
      <w:tr>
        <w:tc>
          <w:tcPr>
            <w:tcW w:type="dxa" w:w="9746"/>
            <w:shd w:fill="F4F4F1" w:color="auto" w:val="clear"/>
            <w:tcMar>
              <w:top w:type="dxa" w:w="160"/>
              <w:left w:type="dxa" w:w="200"/>
              <w:bottom w:type="dxa" w:w="160"/>
              <w:right w:type="dxa" w:w="200"/>
            </w:tcMar>
          </w:tcPr>
          <w:p>
            <w:pPr>
              <w:spacing w:after="60"/>
            </w:pPr>
            <w:r>
              <w:rPr>
                <w:rFonts w:ascii="Arial" w:cs="Arial" w:eastAsia="Arial" w:hAnsi="Arial"/>
                <w:b/>
                <w:bCs/>
                <w:color w:val="15171A"/>
                <w:sz w:val="20"/>
                <w:szCs w:val="20"/>
              </w:rPr>
              <w:t xml:space="preserve">Was ab Tag eins mitläuft, auch wenn es klein anfängt</w:t>
            </w:r>
          </w:p>
          <w:p>
            <w:pPr>
              <w:spacing w:after="50" w:line="270"/>
            </w:pPr>
            <w:r>
              <w:rPr>
                <w:rFonts w:ascii="Arial" w:cs="Arial" w:eastAsia="Arial" w:hAnsi="Arial"/>
                <w:b w:val="false"/>
                <w:bCs w:val="false"/>
                <w:i w:val="false"/>
                <w:iCs w:val="false"/>
                <w:color w:val="1A1A1A"/>
                <w:sz w:val="19"/>
                <w:szCs w:val="19"/>
              </w:rPr>
              <w:t xml:space="preserve">Ein offener Abend pro Monat ab Monat 4 – nicht als Marketing, sondern als Bestandteil des Betriebs.</w:t>
            </w:r>
          </w:p>
          <w:p>
            <w:pPr>
              <w:spacing w:after="50" w:line="270"/>
            </w:pPr>
            <w:r>
              <w:rPr>
                <w:rFonts w:ascii="Arial" w:cs="Arial" w:eastAsia="Arial" w:hAnsi="Arial"/>
                <w:b w:val="false"/>
                <w:bCs w:val="false"/>
                <w:i w:val="false"/>
                <w:iCs w:val="false"/>
                <w:color w:val="1A1A1A"/>
                <w:sz w:val="19"/>
                <w:szCs w:val="19"/>
              </w:rPr>
              <w:t xml:space="preserve">Ein Cybersecurity-Format pro Quartal ab Monat 5.</w:t>
            </w:r>
          </w:p>
          <w:p>
            <w:pPr>
              <w:spacing w:after="50" w:line="270"/>
            </w:pPr>
            <w:r>
              <w:rPr>
                <w:rFonts w:ascii="Arial" w:cs="Arial" w:eastAsia="Arial" w:hAnsi="Arial"/>
                <w:b w:val="false"/>
                <w:bCs w:val="false"/>
                <w:i w:val="false"/>
                <w:iCs w:val="false"/>
                <w:color w:val="1A1A1A"/>
                <w:sz w:val="19"/>
                <w:szCs w:val="19"/>
              </w:rPr>
              <w:t xml:space="preserve">Ein Gespräch mit mindestens einer Hochschule und einer Kommune vor dem Soft Launch.</w:t>
            </w:r>
          </w:p>
          <w:p>
            <w:pPr>
              <w:spacing w:after="50" w:line="270"/>
            </w:pPr>
            <w:r>
              <w:rPr>
                <w:rFonts w:ascii="Arial" w:cs="Arial" w:eastAsia="Arial" w:hAnsi="Arial"/>
                <w:b w:val="false"/>
                <w:bCs w:val="false"/>
                <w:i w:val="false"/>
                <w:iCs w:val="false"/>
                <w:color w:val="1A1A1A"/>
                <w:sz w:val="19"/>
                <w:szCs w:val="19"/>
              </w:rPr>
              <w:t xml:space="preserve">Impact-Messung ab Monat 4, quartalsweise berichtet.</w:t>
            </w:r>
          </w:p>
        </w:tc>
      </w:tr>
    </w:tbl>
    <w:p>
      <w:r>
        <w:br w:type="page"/>
      </w:r>
    </w:p>
    <w:p>
      <w:pPr>
        <w:pStyle w:val="Heading1"/>
        <w:pBdr>
          <w:bottom w:val="single" w:color="E4452B" w:sz="6" w:space="7"/>
        </w:pBdr>
        <w:spacing w:after="60" w:before="380"/>
      </w:pPr>
      <w:r>
        <w:rPr>
          <w:rFonts w:ascii="Arial" w:cs="Arial" w:eastAsia="Arial" w:hAnsi="Arial"/>
          <w:b/>
          <w:bCs/>
          <w:color w:val="15171A"/>
          <w:sz w:val="30"/>
          <w:szCs w:val="30"/>
        </w:rPr>
        <w:t xml:space="preserve">9. Partnerlogik</w:t>
      </w:r>
    </w:p>
    <w:p>
      <w:pPr>
        <w:pStyle w:val="Heading3"/>
        <w:spacing w:after="30" w:before="180"/>
      </w:pPr>
      <w:r>
        <w:rPr>
          <w:rFonts w:ascii="Arial" w:cs="Arial" w:eastAsia="Arial" w:hAnsi="Arial"/>
          <w:b/>
          <w:bCs/>
          <w:color w:val="7A7F85"/>
          <w:sz w:val="20"/>
          <w:szCs w:val="20"/>
        </w:rPr>
        <w:t xml:space="preserve">Hersteller und Technologieanbieter</w:t>
      </w:r>
    </w:p>
    <w:p>
      <w:pPr>
        <w:spacing w:after="110" w:line="280"/>
      </w:pPr>
      <w:r>
        <w:rPr>
          <w:rFonts w:ascii="Arial" w:cs="Arial" w:eastAsia="Arial" w:hAnsi="Arial"/>
          <w:b w:val="false"/>
          <w:bCs w:val="false"/>
          <w:i w:val="false"/>
          <w:iCs w:val="false"/>
          <w:color w:val="1A1A1A"/>
          <w:sz w:val="20"/>
          <w:szCs w:val="20"/>
        </w:rPr>
        <w:t xml:space="preserve">Terra Robotics kann als Robotik- und Herstellerpartner eine zentrale Rolle einnehmen: Demo-Systeme, Herstellerzugang, humanoide Robotik, gemeinsame Demo Days, Schulungen, Aufbau des Servicepoints und Leadsharing. Das Grundprinzip gilt für alle Hersteller: Sie liefern Technologie, ROBANTIS liefert Nähe, Vertrauen, Beratung, Implementierung, Service und Marktzugang. Demo- und Verkaufsgeräte werden bevorzugt über Konsignation und Leasing abgebildet, nicht über Eigenkauf – das hält Kapitalbedarf und Warenrisiko niedrig.</w:t>
      </w:r>
    </w:p>
    <w:p>
      <w:pPr>
        <w:pStyle w:val="Heading3"/>
        <w:spacing w:after="30" w:before="180"/>
      </w:pPr>
      <w:r>
        <w:rPr>
          <w:rFonts w:ascii="Arial" w:cs="Arial" w:eastAsia="Arial" w:hAnsi="Arial"/>
          <w:b/>
          <w:bCs/>
          <w:color w:val="7A7F85"/>
          <w:sz w:val="20"/>
          <w:szCs w:val="20"/>
        </w:rPr>
        <w:t xml:space="preserve">Kommunen und Institutionen</w:t>
      </w:r>
    </w:p>
    <w:p>
      <w:pPr>
        <w:spacing w:after="110" w:line="280"/>
      </w:pPr>
      <w:r>
        <w:rPr>
          <w:rFonts w:ascii="Arial" w:cs="Arial" w:eastAsia="Arial" w:hAnsi="Arial"/>
          <w:b w:val="false"/>
          <w:bCs w:val="false"/>
          <w:i w:val="false"/>
          <w:iCs w:val="false"/>
          <w:color w:val="1A1A1A"/>
          <w:sz w:val="20"/>
          <w:szCs w:val="20"/>
        </w:rPr>
        <w:t xml:space="preserve">Kommunen stehen bei KI, Robotik und Cybersecurity unter Erwartungsdruck und haben selten eine eigene Fachabteilung. ROBANTIS kann diese Lücke als externer Kompetenzpartner schließen – mit Bürgerabenden, offenen Sprechstunden, mobilen Einsätzen, Verwaltungs-Workshops und moderierten Debatten. Angestrebt sind wiederkehrende Rahmenprogramme statt Einzelveranstaltungen.</w:t>
      </w:r>
    </w:p>
    <w:p>
      <w:pPr>
        <w:pStyle w:val="Heading3"/>
        <w:spacing w:after="30" w:before="180"/>
      </w:pPr>
      <w:r>
        <w:rPr>
          <w:rFonts w:ascii="Arial" w:cs="Arial" w:eastAsia="Arial" w:hAnsi="Arial"/>
          <w:b/>
          <w:bCs/>
          <w:color w:val="7A7F85"/>
          <w:sz w:val="20"/>
          <w:szCs w:val="20"/>
        </w:rPr>
        <w:t xml:space="preserve">Forschung und Lehre</w:t>
      </w:r>
    </w:p>
    <w:p>
      <w:pPr>
        <w:spacing w:after="110" w:line="280"/>
      </w:pPr>
      <w:r>
        <w:rPr>
          <w:rFonts w:ascii="Arial" w:cs="Arial" w:eastAsia="Arial" w:hAnsi="Arial"/>
          <w:b w:val="false"/>
          <w:bCs w:val="false"/>
          <w:i w:val="false"/>
          <w:iCs w:val="false"/>
          <w:color w:val="1A1A1A"/>
          <w:sz w:val="20"/>
          <w:szCs w:val="20"/>
        </w:rPr>
        <w:t xml:space="preserve">Hochschulen und Institute erhalten Zugang zu echten Anwender:innen, realen Prozessen und einem Reallabor mitten in der Stadt. Schulen und Bildungsträger erhalten Geräte, Curricula und fortgebildete Lehrkräfte. Beide Seiten liefern zurück, was ROBANTIS allein nicht herstellen kann: methodische Belastbarkeit und institutionelles Vertrauen.</w:t>
      </w:r>
    </w:p>
    <w:p>
      <w:pPr>
        <w:pStyle w:val="Heading3"/>
        <w:spacing w:after="30" w:before="180"/>
      </w:pPr>
      <w:r>
        <w:rPr>
          <w:rFonts w:ascii="Arial" w:cs="Arial" w:eastAsia="Arial" w:hAnsi="Arial"/>
          <w:b/>
          <w:bCs/>
          <w:color w:val="7A7F85"/>
          <w:sz w:val="20"/>
          <w:szCs w:val="20"/>
        </w:rPr>
        <w:t xml:space="preserve">Was Partner ausdrücklich nicht bekommen</w:t>
      </w:r>
    </w:p>
    <w:p>
      <w:pPr>
        <w:pStyle w:val="ListParagraph"/>
        <w:numPr>
          <w:ilvl w:val="0"/>
          <w:numId w:val="3"/>
        </w:numPr>
        <w:spacing w:after="60" w:line="270"/>
      </w:pPr>
      <w:r>
        <w:rPr>
          <w:rFonts w:ascii="Arial" w:cs="Arial" w:eastAsia="Arial" w:hAnsi="Arial"/>
          <w:b w:val="false"/>
          <w:bCs w:val="false"/>
          <w:i w:val="false"/>
          <w:iCs w:val="false"/>
          <w:color w:val="1A1A1A"/>
          <w:sz w:val="20"/>
          <w:szCs w:val="20"/>
        </w:rPr>
        <w:t xml:space="preserve">Keine Exklusivität auf die Bildungs- und Bürgerformate. Diese bleiben herstellerneutral, sonst verlieren sie ihre Funktion.</w:t>
      </w:r>
    </w:p>
    <w:p>
      <w:pPr>
        <w:pStyle w:val="ListParagraph"/>
        <w:numPr>
          <w:ilvl w:val="0"/>
          <w:numId w:val="3"/>
        </w:numPr>
        <w:spacing w:after="60" w:line="270"/>
      </w:pPr>
      <w:r>
        <w:rPr>
          <w:rFonts w:ascii="Arial" w:cs="Arial" w:eastAsia="Arial" w:hAnsi="Arial"/>
          <w:b w:val="false"/>
          <w:bCs w:val="false"/>
          <w:i w:val="false"/>
          <w:iCs w:val="false"/>
          <w:color w:val="1A1A1A"/>
          <w:sz w:val="20"/>
          <w:szCs w:val="20"/>
        </w:rPr>
        <w:t xml:space="preserve">Keine Einflussnahme auf Inhalte der Reihe „Robotics, AI &amp; Society“. Kritik an Sponsoren muss dort möglich sein.</w:t>
      </w:r>
    </w:p>
    <w:p>
      <w:pPr>
        <w:pStyle w:val="ListParagraph"/>
        <w:numPr>
          <w:ilvl w:val="0"/>
          <w:numId w:val="3"/>
        </w:numPr>
        <w:spacing w:after="60" w:line="270"/>
      </w:pPr>
      <w:r>
        <w:rPr>
          <w:rFonts w:ascii="Arial" w:cs="Arial" w:eastAsia="Arial" w:hAnsi="Arial"/>
          <w:b w:val="false"/>
          <w:bCs w:val="false"/>
          <w:i w:val="false"/>
          <w:iCs w:val="false"/>
          <w:color w:val="1A1A1A"/>
          <w:sz w:val="20"/>
          <w:szCs w:val="20"/>
        </w:rPr>
        <w:t xml:space="preserve">Keine Weitergabe personenbezogener Besucherdaten aus offenen Formaten an Vertriebspartner.</w:t>
      </w:r>
    </w:p>
    <w:p>
      <w:pPr>
        <w:pStyle w:val="Heading1"/>
        <w:pBdr>
          <w:bottom w:val="single" w:color="E4452B" w:sz="6" w:space="7"/>
        </w:pBdr>
        <w:spacing w:after="60" w:before="380"/>
      </w:pPr>
      <w:r>
        <w:rPr>
          <w:rFonts w:ascii="Arial" w:cs="Arial" w:eastAsia="Arial" w:hAnsi="Arial"/>
          <w:b/>
          <w:bCs/>
          <w:color w:val="15171A"/>
          <w:sz w:val="30"/>
          <w:szCs w:val="30"/>
        </w:rPr>
        <w:t xml:space="preserve">10. Governance: Verantwortung als Betriebsvoraussetzung</w:t>
      </w:r>
    </w:p>
    <w:p>
      <w:pPr>
        <w:spacing w:after="110" w:line="280"/>
      </w:pPr>
      <w:r>
        <w:rPr>
          <w:rFonts w:ascii="Arial" w:cs="Arial" w:eastAsia="Arial" w:hAnsi="Arial"/>
          <w:b w:val="false"/>
          <w:bCs w:val="false"/>
          <w:i w:val="false"/>
          <w:iCs w:val="false"/>
          <w:color w:val="1A1A1A"/>
          <w:sz w:val="20"/>
          <w:szCs w:val="20"/>
        </w:rPr>
        <w:t xml:space="preserve">Ein Ort, der zugleich verkauft und aufklärt, hat einen eingebauten Interessenkonflikt. Er ist lösbar, aber nur durch Regeln, die vorher feststehen und überprüfbar sind.</w:t>
      </w:r>
    </w:p>
    <w:tbl>
      <w:tblPr>
        <w:tblW w:type="dxa" w:w="974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2339"/>
        <w:gridCol w:w="7407"/>
      </w:tblGrid>
      <w:tr>
        <w:trPr>
          <w:tblHeader/>
        </w:trPr>
        <w:tc>
          <w:tcPr>
            <w:tcW w:type="dxa" w:w="2339"/>
            <w:tcBorders>
              <w:top w:val="none" w:color="FFFFFF" w:sz="0"/>
              <w:left w:val="none" w:color="FFFFFF" w:sz="0"/>
              <w:bottom w:val="single" w:color="E2E2DE" w:sz="4"/>
              <w:right w:val="none" w:color="FFFFFF" w:sz="0"/>
            </w:tcBorders>
            <w:shd w:fill="15171A" w:color="auto" w:val="clear"/>
            <w:tcMar>
              <w:top w:type="dxa" w:w="90"/>
              <w:left w:type="dxa" w:w="130"/>
              <w:bottom w:type="dxa" w:w="90"/>
              <w:right w:type="dxa" w:w="130"/>
            </w:tcMar>
          </w:tcPr>
          <w:p>
            <w:pPr>
              <w:jc w:val="left"/>
            </w:pPr>
            <w:r>
              <w:rPr>
                <w:rFonts w:ascii="Arial" w:cs="Arial" w:eastAsia="Arial" w:hAnsi="Arial"/>
                <w:b/>
                <w:bCs/>
                <w:color w:val="FFFFFF"/>
                <w:sz w:val="18"/>
                <w:szCs w:val="18"/>
              </w:rPr>
              <w:t xml:space="preserve">Prinzip</w:t>
            </w:r>
          </w:p>
        </w:tc>
        <w:tc>
          <w:tcPr>
            <w:tcW w:type="dxa" w:w="7407"/>
            <w:tcBorders>
              <w:top w:val="none" w:color="FFFFFF" w:sz="0"/>
              <w:left w:val="none" w:color="FFFFFF" w:sz="0"/>
              <w:bottom w:val="single" w:color="E2E2DE" w:sz="4"/>
              <w:right w:val="none" w:color="FFFFFF" w:sz="0"/>
            </w:tcBorders>
            <w:shd w:fill="15171A" w:color="auto" w:val="clear"/>
            <w:tcMar>
              <w:top w:type="dxa" w:w="90"/>
              <w:left w:type="dxa" w:w="130"/>
              <w:bottom w:type="dxa" w:w="90"/>
              <w:right w:type="dxa" w:w="130"/>
            </w:tcMar>
          </w:tcPr>
          <w:p>
            <w:pPr>
              <w:jc w:val="left"/>
            </w:pPr>
            <w:r>
              <w:rPr>
                <w:rFonts w:ascii="Arial" w:cs="Arial" w:eastAsia="Arial" w:hAnsi="Arial"/>
                <w:b/>
                <w:bCs/>
                <w:color w:val="FFFFFF"/>
                <w:sz w:val="18"/>
                <w:szCs w:val="18"/>
              </w:rPr>
              <w:t xml:space="preserve">Was das im Betrieb konkret bedeutet</w:t>
            </w:r>
          </w:p>
        </w:tc>
      </w:tr>
      <w:tr>
        <w:trPr>
          <w:tblHeader w:val="false"/>
        </w:trPr>
        <w:tc>
          <w:tcPr>
            <w:tcW w:type="dxa" w:w="2339"/>
            <w:tcBorders>
              <w:top w:val="none" w:color="FFFFFF" w:sz="0"/>
              <w:left w:val="none" w:color="FFFFFF" w:sz="0"/>
              <w:bottom w:val="single" w:color="E2E2DE" w:sz="4"/>
              <w:right w:val="none" w:color="FFFFFF" w:sz="0"/>
            </w:tcBorders>
            <w:shd w:fill="FFFFFF"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Human-in-the-loop</w:t>
            </w:r>
          </w:p>
        </w:tc>
        <w:tc>
          <w:tcPr>
            <w:tcW w:type="dxa" w:w="7407"/>
            <w:tcBorders>
              <w:top w:val="none" w:color="FFFFFF" w:sz="0"/>
              <w:left w:val="none" w:color="FFFFFF" w:sz="0"/>
              <w:bottom w:val="single" w:color="E2E2DE" w:sz="4"/>
              <w:right w:val="none" w:color="FFFFFF" w:sz="0"/>
            </w:tcBorders>
            <w:shd w:fill="FFFFFF"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Agenten schlagen vor, Menschen entscheiden. Keine autonome Ausführung in sensiblen Prozessen – bei Kund:innen und intern.</w:t>
            </w:r>
          </w:p>
        </w:tc>
      </w:tr>
      <w:tr>
        <w:trPr>
          <w:tblHeader w:val="false"/>
        </w:trPr>
        <w:tc>
          <w:tcPr>
            <w:tcW w:type="dxa" w:w="2339"/>
            <w:tcBorders>
              <w:top w:val="none" w:color="FFFFFF" w:sz="0"/>
              <w:left w:val="none" w:color="FFFFFF" w:sz="0"/>
              <w:bottom w:val="single" w:color="E2E2DE" w:sz="4"/>
              <w:right w:val="none" w:color="FFFFFF" w:sz="0"/>
            </w:tcBorders>
            <w:shd w:fill="F4F4F1"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Cybersecurity by design</w:t>
            </w:r>
          </w:p>
        </w:tc>
        <w:tc>
          <w:tcPr>
            <w:tcW w:type="dxa" w:w="7407"/>
            <w:tcBorders>
              <w:top w:val="none" w:color="FFFFFF" w:sz="0"/>
              <w:left w:val="none" w:color="FFFFFF" w:sz="0"/>
              <w:bottom w:val="single" w:color="E2E2DE" w:sz="4"/>
              <w:right w:val="none" w:color="FFFFFF" w:sz="0"/>
            </w:tcBorders>
            <w:shd w:fill="F4F4F1"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Jede Automatisierung, jeder Roboter und jeder Agent wird vor Übergabe auf Datenflüsse, Zugriffsrechte und Angriffsflächen geprüft. Der Anlass ist real: Der Schaden für die deutsche Wirtschaft durch Diebstahl, Spionage und Sabotage lag 2025 bei 289,2 Mrd. €, 87 % der Unternehmen waren betroffen.</w:t>
            </w:r>
          </w:p>
        </w:tc>
      </w:tr>
      <w:tr>
        <w:trPr>
          <w:tblHeader w:val="false"/>
        </w:trPr>
        <w:tc>
          <w:tcPr>
            <w:tcW w:type="dxa" w:w="2339"/>
            <w:tcBorders>
              <w:top w:val="none" w:color="FFFFFF" w:sz="0"/>
              <w:left w:val="none" w:color="FFFFFF" w:sz="0"/>
              <w:bottom w:val="single" w:color="E2E2DE" w:sz="4"/>
              <w:right w:val="none" w:color="FFFFFF" w:sz="0"/>
            </w:tcBorders>
            <w:shd w:fill="FFFFFF"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Rechtskonformität</w:t>
            </w:r>
          </w:p>
        </w:tc>
        <w:tc>
          <w:tcPr>
            <w:tcW w:type="dxa" w:w="7407"/>
            <w:tcBorders>
              <w:top w:val="none" w:color="FFFFFF" w:sz="0"/>
              <w:left w:val="none" w:color="FFFFFF" w:sz="0"/>
              <w:bottom w:val="single" w:color="E2E2DE" w:sz="4"/>
              <w:right w:val="none" w:color="FFFFFF" w:sz="0"/>
            </w:tcBorders>
            <w:shd w:fill="FFFFFF"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DSGVO, EU-KI-Verordnung, Maschinen- und Produktsicherheitsrecht sind Bestandteil jedes Angebots, nicht Anhang. Hochrisiko-Anwendungen werden als solche benannt und ggf. abgelehnt.</w:t>
            </w:r>
          </w:p>
        </w:tc>
      </w:tr>
      <w:tr>
        <w:trPr>
          <w:tblHeader w:val="false"/>
        </w:trPr>
        <w:tc>
          <w:tcPr>
            <w:tcW w:type="dxa" w:w="2339"/>
            <w:tcBorders>
              <w:top w:val="none" w:color="FFFFFF" w:sz="0"/>
              <w:left w:val="none" w:color="FFFFFF" w:sz="0"/>
              <w:bottom w:val="single" w:color="E2E2DE" w:sz="4"/>
              <w:right w:val="none" w:color="FFFFFF" w:sz="0"/>
            </w:tcBorders>
            <w:shd w:fill="F4F4F1"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Kritischer Dialog</w:t>
            </w:r>
          </w:p>
        </w:tc>
        <w:tc>
          <w:tcPr>
            <w:tcW w:type="dxa" w:w="7407"/>
            <w:tcBorders>
              <w:top w:val="none" w:color="FFFFFF" w:sz="0"/>
              <w:left w:val="none" w:color="FFFFFF" w:sz="0"/>
              <w:bottom w:val="single" w:color="E2E2DE" w:sz="4"/>
              <w:right w:val="none" w:color="FFFFFF" w:sz="0"/>
            </w:tcBorders>
            <w:shd w:fill="F4F4F1"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Ethik, Recht, Arbeitswelt, Diskriminierung, Abhängigkeiten und Mensch-Maschine-Beziehungen sind feste Programmpunkte – auch dann, wenn die Antworten für das eigene Geschäft unbequem sind.</w:t>
            </w:r>
          </w:p>
        </w:tc>
      </w:tr>
      <w:tr>
        <w:trPr>
          <w:tblHeader w:val="false"/>
        </w:trPr>
        <w:tc>
          <w:tcPr>
            <w:tcW w:type="dxa" w:w="2339"/>
            <w:tcBorders>
              <w:top w:val="none" w:color="FFFFFF" w:sz="0"/>
              <w:left w:val="none" w:color="FFFFFF" w:sz="0"/>
              <w:bottom w:val="single" w:color="E2E2DE" w:sz="4"/>
              <w:right w:val="none" w:color="FFFFFF" w:sz="0"/>
            </w:tcBorders>
            <w:shd w:fill="FFFFFF"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Trennung von Verkauf und Aufklärung</w:t>
            </w:r>
          </w:p>
        </w:tc>
        <w:tc>
          <w:tcPr>
            <w:tcW w:type="dxa" w:w="7407"/>
            <w:tcBorders>
              <w:top w:val="none" w:color="FFFFFF" w:sz="0"/>
              <w:left w:val="none" w:color="FFFFFF" w:sz="0"/>
              <w:bottom w:val="single" w:color="E2E2DE" w:sz="4"/>
              <w:right w:val="none" w:color="FFFFFF" w:sz="0"/>
            </w:tcBorders>
            <w:shd w:fill="FFFFFF"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Offene Formate sind produkt- und herstellerneutral. Wer eine Bürgersprechstunde besucht, wird nicht als Lead behandelt.</w:t>
            </w:r>
          </w:p>
        </w:tc>
      </w:tr>
      <w:tr>
        <w:trPr>
          <w:tblHeader w:val="false"/>
        </w:trPr>
        <w:tc>
          <w:tcPr>
            <w:tcW w:type="dxa" w:w="2339"/>
            <w:tcBorders>
              <w:top w:val="none" w:color="FFFFFF" w:sz="0"/>
              <w:left w:val="none" w:color="FFFFFF" w:sz="0"/>
              <w:bottom w:val="single" w:color="E2E2DE" w:sz="4"/>
              <w:right w:val="none" w:color="FFFFFF" w:sz="0"/>
            </w:tcBorders>
            <w:shd w:fill="F4F4F1"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Transparente Wirkungsmessung</w:t>
            </w:r>
          </w:p>
        </w:tc>
        <w:tc>
          <w:tcPr>
            <w:tcW w:type="dxa" w:w="7407"/>
            <w:tcBorders>
              <w:top w:val="none" w:color="FFFFFF" w:sz="0"/>
              <w:left w:val="none" w:color="FFFFFF" w:sz="0"/>
              <w:bottom w:val="single" w:color="E2E2DE" w:sz="4"/>
              <w:right w:val="none" w:color="FFFFFF" w:sz="0"/>
            </w:tcBorders>
            <w:shd w:fill="F4F4F1"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Impact-KPIs werden quartalsweise erhoben und veröffentlicht – auch wenn Ziele verfehlt werden.</w:t>
            </w:r>
          </w:p>
        </w:tc>
      </w:tr>
    </w:tbl>
    <w:p>
      <w:r>
        <w:br w:type="page"/>
      </w:r>
    </w:p>
    <w:p>
      <w:pPr>
        <w:pStyle w:val="Heading1"/>
        <w:pBdr>
          <w:bottom w:val="single" w:color="E4452B" w:sz="6" w:space="7"/>
        </w:pBdr>
        <w:spacing w:after="60" w:before="380"/>
      </w:pPr>
      <w:r>
        <w:rPr>
          <w:rFonts w:ascii="Arial" w:cs="Arial" w:eastAsia="Arial" w:hAnsi="Arial"/>
          <w:b/>
          <w:bCs/>
          <w:color w:val="15171A"/>
          <w:sz w:val="30"/>
          <w:szCs w:val="30"/>
        </w:rPr>
        <w:t xml:space="preserve">11. Was gegen dieses Konzept spricht</w:t>
      </w:r>
    </w:p>
    <w:p>
      <w:pPr>
        <w:spacing w:after="110" w:line="280"/>
      </w:pPr>
      <w:r>
        <w:rPr>
          <w:rFonts w:ascii="Arial" w:cs="Arial" w:eastAsia="Arial" w:hAnsi="Arial"/>
          <w:b w:val="false"/>
          <w:bCs w:val="false"/>
          <w:i w:val="false"/>
          <w:iCs w:val="false"/>
          <w:color w:val="1A1A1A"/>
          <w:sz w:val="20"/>
          <w:szCs w:val="20"/>
        </w:rPr>
        <w:t xml:space="preserve">Dieses Kapitel steht bewusst im Konzeptpapier und nicht nur im internen Risikoregister. Wer die folgenden Einwände nicht selbst formuliert, wird sie im ersten ernsthaften Gespräch von der Gegenseite hören.</w:t>
      </w:r>
    </w:p>
    <w:tbl>
      <w:tblPr>
        <w:tblW w:type="dxa" w:w="974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2534"/>
        <w:gridCol w:w="2924"/>
        <w:gridCol w:w="4288"/>
      </w:tblGrid>
      <w:tr>
        <w:trPr>
          <w:tblHeader/>
        </w:trPr>
        <w:tc>
          <w:tcPr>
            <w:tcW w:type="dxa" w:w="2534"/>
            <w:tcBorders>
              <w:top w:val="none" w:color="FFFFFF" w:sz="0"/>
              <w:left w:val="none" w:color="FFFFFF" w:sz="0"/>
              <w:bottom w:val="single" w:color="E2E2DE" w:sz="4"/>
              <w:right w:val="none" w:color="FFFFFF" w:sz="0"/>
            </w:tcBorders>
            <w:shd w:fill="15171A" w:color="auto" w:val="clear"/>
            <w:tcMar>
              <w:top w:type="dxa" w:w="90"/>
              <w:left w:type="dxa" w:w="130"/>
              <w:bottom w:type="dxa" w:w="90"/>
              <w:right w:type="dxa" w:w="130"/>
            </w:tcMar>
          </w:tcPr>
          <w:p>
            <w:pPr>
              <w:jc w:val="left"/>
            </w:pPr>
            <w:r>
              <w:rPr>
                <w:rFonts w:ascii="Arial" w:cs="Arial" w:eastAsia="Arial" w:hAnsi="Arial"/>
                <w:b/>
                <w:bCs/>
                <w:color w:val="FFFFFF"/>
                <w:sz w:val="18"/>
                <w:szCs w:val="18"/>
              </w:rPr>
              <w:t xml:space="preserve">Einwand</w:t>
            </w:r>
          </w:p>
        </w:tc>
        <w:tc>
          <w:tcPr>
            <w:tcW w:type="dxa" w:w="2924"/>
            <w:tcBorders>
              <w:top w:val="none" w:color="FFFFFF" w:sz="0"/>
              <w:left w:val="none" w:color="FFFFFF" w:sz="0"/>
              <w:bottom w:val="single" w:color="E2E2DE" w:sz="4"/>
              <w:right w:val="none" w:color="FFFFFF" w:sz="0"/>
            </w:tcBorders>
            <w:shd w:fill="15171A" w:color="auto" w:val="clear"/>
            <w:tcMar>
              <w:top w:type="dxa" w:w="90"/>
              <w:left w:type="dxa" w:w="130"/>
              <w:bottom w:type="dxa" w:w="90"/>
              <w:right w:type="dxa" w:w="130"/>
            </w:tcMar>
          </w:tcPr>
          <w:p>
            <w:pPr>
              <w:jc w:val="left"/>
            </w:pPr>
            <w:r>
              <w:rPr>
                <w:rFonts w:ascii="Arial" w:cs="Arial" w:eastAsia="Arial" w:hAnsi="Arial"/>
                <w:b/>
                <w:bCs/>
                <w:color w:val="FFFFFF"/>
                <w:sz w:val="18"/>
                <w:szCs w:val="18"/>
              </w:rPr>
              <w:t xml:space="preserve">Wie berechtigt er ist</w:t>
            </w:r>
          </w:p>
        </w:tc>
        <w:tc>
          <w:tcPr>
            <w:tcW w:type="dxa" w:w="4288"/>
            <w:tcBorders>
              <w:top w:val="none" w:color="FFFFFF" w:sz="0"/>
              <w:left w:val="none" w:color="FFFFFF" w:sz="0"/>
              <w:bottom w:val="single" w:color="E2E2DE" w:sz="4"/>
              <w:right w:val="none" w:color="FFFFFF" w:sz="0"/>
            </w:tcBorders>
            <w:shd w:fill="15171A" w:color="auto" w:val="clear"/>
            <w:tcMar>
              <w:top w:type="dxa" w:w="90"/>
              <w:left w:type="dxa" w:w="130"/>
              <w:bottom w:type="dxa" w:w="90"/>
              <w:right w:type="dxa" w:w="130"/>
            </w:tcMar>
          </w:tcPr>
          <w:p>
            <w:pPr>
              <w:jc w:val="left"/>
            </w:pPr>
            <w:r>
              <w:rPr>
                <w:rFonts w:ascii="Arial" w:cs="Arial" w:eastAsia="Arial" w:hAnsi="Arial"/>
                <w:b/>
                <w:bCs/>
                <w:color w:val="FFFFFF"/>
                <w:sz w:val="18"/>
                <w:szCs w:val="18"/>
              </w:rPr>
              <w:t xml:space="preserve">Gegenmaßnahme</w:t>
            </w:r>
          </w:p>
        </w:tc>
      </w:tr>
      <w:tr>
        <w:trPr>
          <w:tblHeader w:val="false"/>
        </w:trPr>
        <w:tc>
          <w:tcPr>
            <w:tcW w:type="dxa" w:w="2534"/>
            <w:tcBorders>
              <w:top w:val="none" w:color="FFFFFF" w:sz="0"/>
              <w:left w:val="none" w:color="FFFFFF" w:sz="0"/>
              <w:bottom w:val="single" w:color="E2E2DE" w:sz="4"/>
              <w:right w:val="none" w:color="FFFFFF" w:sz="0"/>
            </w:tcBorders>
            <w:shd w:fill="FFFFFF"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Das Modell ist zu breit. Fünf Zielgruppen bedeutet fünf Vertriebe und keinen davon richtig.</w:t>
            </w:r>
          </w:p>
        </w:tc>
        <w:tc>
          <w:tcPr>
            <w:tcW w:type="dxa" w:w="2924"/>
            <w:tcBorders>
              <w:top w:val="none" w:color="FFFFFF" w:sz="0"/>
              <w:left w:val="none" w:color="FFFFFF" w:sz="0"/>
              <w:bottom w:val="single" w:color="E2E2DE" w:sz="4"/>
              <w:right w:val="none" w:color="FFFFFF" w:sz="0"/>
            </w:tcBorders>
            <w:shd w:fill="FFFFFF"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Der stärkste Einwand. Breite ist der häufigste Grund, warum solche Center scheitern.</w:t>
            </w:r>
          </w:p>
        </w:tc>
        <w:tc>
          <w:tcPr>
            <w:tcW w:type="dxa" w:w="4288"/>
            <w:tcBorders>
              <w:top w:val="none" w:color="FFFFFF" w:sz="0"/>
              <w:left w:val="none" w:color="FFFFFF" w:sz="0"/>
              <w:bottom w:val="single" w:color="E2E2DE" w:sz="4"/>
              <w:right w:val="none" w:color="FFFFFF" w:sz="0"/>
            </w:tcBorders>
            <w:shd w:fill="FFFFFF"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Der Betrieb startet mit drei Leistungen: AI Agent Bar, Automation Sprints, Robotik-Demos. Bildung und Bürgerdialog laufen ab Phase 2 mit definierter, kleiner Kapazität.</w:t>
            </w:r>
          </w:p>
        </w:tc>
      </w:tr>
      <w:tr>
        <w:trPr>
          <w:tblHeader w:val="false"/>
        </w:trPr>
        <w:tc>
          <w:tcPr>
            <w:tcW w:type="dxa" w:w="2534"/>
            <w:tcBorders>
              <w:top w:val="none" w:color="FFFFFF" w:sz="0"/>
              <w:left w:val="none" w:color="FFFFFF" w:sz="0"/>
              <w:bottom w:val="single" w:color="E2E2DE" w:sz="4"/>
              <w:right w:val="none" w:color="FFFFFF" w:sz="0"/>
            </w:tcBorders>
            <w:shd w:fill="F4F4F1"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Der Kreislauf aus Kapitel 4 ist eine Erzählung, kein Beweis.</w:t>
            </w:r>
          </w:p>
        </w:tc>
        <w:tc>
          <w:tcPr>
            <w:tcW w:type="dxa" w:w="2924"/>
            <w:tcBorders>
              <w:top w:val="none" w:color="FFFFFF" w:sz="0"/>
              <w:left w:val="none" w:color="FFFFFF" w:sz="0"/>
              <w:bottom w:val="single" w:color="E2E2DE" w:sz="4"/>
              <w:right w:val="none" w:color="FFFFFF" w:sz="0"/>
            </w:tcBorders>
            <w:shd w:fill="F4F4F1"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Zutreffend. Der Mechanismus ist plausibel, aber bislang unbelegt.</w:t>
            </w:r>
          </w:p>
        </w:tc>
        <w:tc>
          <w:tcPr>
            <w:tcW w:type="dxa" w:w="4288"/>
            <w:tcBorders>
              <w:top w:val="none" w:color="FFFFFF" w:sz="0"/>
              <w:left w:val="none" w:color="FFFFFF" w:sz="0"/>
              <w:bottom w:val="single" w:color="E2E2DE" w:sz="4"/>
              <w:right w:val="none" w:color="FFFFFF" w:sz="0"/>
            </w:tcBorders>
            <w:shd w:fill="F4F4F1"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Er wird ab Monat 4 gemessen: Anteil der B2B-Leads, die aus Bildungs-, Bürger- oder Kommunalformaten stammen. Diese Quote ist die zentrale Kennzahl des Modells.</w:t>
            </w:r>
          </w:p>
        </w:tc>
      </w:tr>
      <w:tr>
        <w:trPr>
          <w:tblHeader w:val="false"/>
        </w:trPr>
        <w:tc>
          <w:tcPr>
            <w:tcW w:type="dxa" w:w="2534"/>
            <w:tcBorders>
              <w:top w:val="none" w:color="FFFFFF" w:sz="0"/>
              <w:left w:val="none" w:color="FFFFFF" w:sz="0"/>
              <w:bottom w:val="single" w:color="E2E2DE" w:sz="4"/>
              <w:right w:val="none" w:color="FFFFFF" w:sz="0"/>
            </w:tcBorders>
            <w:shd w:fill="FFFFFF"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Bildung und Bürgerdialog sind schlecht bezahlt und binden Personal.</w:t>
            </w:r>
          </w:p>
        </w:tc>
        <w:tc>
          <w:tcPr>
            <w:tcW w:type="dxa" w:w="2924"/>
            <w:tcBorders>
              <w:top w:val="none" w:color="FFFFFF" w:sz="0"/>
              <w:left w:val="none" w:color="FFFFFF" w:sz="0"/>
              <w:bottom w:val="single" w:color="E2E2DE" w:sz="4"/>
              <w:right w:val="none" w:color="FFFFFF" w:sz="0"/>
            </w:tcBorders>
            <w:shd w:fill="FFFFFF"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Teilweise zutreffend. Die Deckungsbeiträge liegen unter denen der B2B-Projekte.</w:t>
            </w:r>
          </w:p>
        </w:tc>
        <w:tc>
          <w:tcPr>
            <w:tcW w:type="dxa" w:w="4288"/>
            <w:tcBorders>
              <w:top w:val="none" w:color="FFFFFF" w:sz="0"/>
              <w:left w:val="none" w:color="FFFFFF" w:sz="0"/>
              <w:bottom w:val="single" w:color="E2E2DE" w:sz="4"/>
              <w:right w:val="none" w:color="FFFFFF" w:sz="0"/>
            </w:tcBorders>
            <w:shd w:fill="FFFFFF"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Standardisierte Buchungspakete, Werkstudierende und Lehrkräfte als Multiplikatoren statt eigener Trainerstab. Public Impact bleibt bei rund 15 % des Umsatzes gedeckelt.</w:t>
            </w:r>
          </w:p>
        </w:tc>
      </w:tr>
      <w:tr>
        <w:trPr>
          <w:tblHeader w:val="false"/>
        </w:trPr>
        <w:tc>
          <w:tcPr>
            <w:tcW w:type="dxa" w:w="2534"/>
            <w:tcBorders>
              <w:top w:val="none" w:color="FFFFFF" w:sz="0"/>
              <w:left w:val="none" w:color="FFFFFF" w:sz="0"/>
              <w:bottom w:val="single" w:color="E2E2DE" w:sz="4"/>
              <w:right w:val="none" w:color="FFFFFF" w:sz="0"/>
            </w:tcBorders>
            <w:shd w:fill="F4F4F1"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Robotikverkauf bindet viel Kapital.</w:t>
            </w:r>
          </w:p>
        </w:tc>
        <w:tc>
          <w:tcPr>
            <w:tcW w:type="dxa" w:w="2924"/>
            <w:tcBorders>
              <w:top w:val="none" w:color="FFFFFF" w:sz="0"/>
              <w:left w:val="none" w:color="FFFFFF" w:sz="0"/>
              <w:bottom w:val="single" w:color="E2E2DE" w:sz="4"/>
              <w:right w:val="none" w:color="FFFFFF" w:sz="0"/>
            </w:tcBorders>
            <w:shd w:fill="F4F4F1"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Zutreffend, wenn eingekauft wird.</w:t>
            </w:r>
          </w:p>
        </w:tc>
        <w:tc>
          <w:tcPr>
            <w:tcW w:type="dxa" w:w="4288"/>
            <w:tcBorders>
              <w:top w:val="none" w:color="FFFFFF" w:sz="0"/>
              <w:left w:val="none" w:color="FFFFFF" w:sz="0"/>
              <w:bottom w:val="single" w:color="E2E2DE" w:sz="4"/>
              <w:right w:val="none" w:color="FFFFFF" w:sz="0"/>
            </w:tcBorders>
            <w:shd w:fill="F4F4F1"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Konsignation, Leasing und Provisionsmodelle statt Eigenkauf. Der Kapitalbedarf für Demo-Geräte liegt dadurch im niedrigen fünfstelligen Bereich.</w:t>
            </w:r>
          </w:p>
        </w:tc>
      </w:tr>
      <w:tr>
        <w:trPr>
          <w:tblHeader w:val="false"/>
        </w:trPr>
        <w:tc>
          <w:tcPr>
            <w:tcW w:type="dxa" w:w="2534"/>
            <w:tcBorders>
              <w:top w:val="none" w:color="FFFFFF" w:sz="0"/>
              <w:left w:val="none" w:color="FFFFFF" w:sz="0"/>
              <w:bottom w:val="single" w:color="E2E2DE" w:sz="4"/>
              <w:right w:val="none" w:color="FFFFFF" w:sz="0"/>
            </w:tcBorders>
            <w:shd w:fill="FFFFFF"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Die Region ist wirtschaftlich stark, aber die Konjunktur ist schwach.</w:t>
            </w:r>
          </w:p>
        </w:tc>
        <w:tc>
          <w:tcPr>
            <w:tcW w:type="dxa" w:w="2924"/>
            <w:tcBorders>
              <w:top w:val="none" w:color="FFFFFF" w:sz="0"/>
              <w:left w:val="none" w:color="FFFFFF" w:sz="0"/>
              <w:bottom w:val="single" w:color="E2E2DE" w:sz="4"/>
              <w:right w:val="none" w:color="FFFFFF" w:sz="0"/>
            </w:tcBorders>
            <w:shd w:fill="FFFFFF"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Zutreffend. 20 % der Industrieunternehmen planen 2026 geringere Investitionen.</w:t>
            </w:r>
          </w:p>
        </w:tc>
        <w:tc>
          <w:tcPr>
            <w:tcW w:type="dxa" w:w="4288"/>
            <w:tcBorders>
              <w:top w:val="none" w:color="FFFFFF" w:sz="0"/>
              <w:left w:val="none" w:color="FFFFFF" w:sz="0"/>
              <w:bottom w:val="single" w:color="E2E2DE" w:sz="4"/>
              <w:right w:val="none" w:color="FFFFFF" w:sz="0"/>
            </w:tcBorders>
            <w:shd w:fill="FFFFFF"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Der Einstiegspreis liegt bei 249 €, nicht bei 25.000 €. Das Modell ist so gebaut, dass es auch in Zurückhaltungsphasen kleine Aufträge gewinnt.</w:t>
            </w:r>
          </w:p>
        </w:tc>
      </w:tr>
      <w:tr>
        <w:trPr>
          <w:tblHeader w:val="false"/>
        </w:trPr>
        <w:tc>
          <w:tcPr>
            <w:tcW w:type="dxa" w:w="2534"/>
            <w:tcBorders>
              <w:top w:val="none" w:color="FFFFFF" w:sz="0"/>
              <w:left w:val="none" w:color="FFFFFF" w:sz="0"/>
              <w:bottom w:val="single" w:color="E2E2DE" w:sz="4"/>
              <w:right w:val="none" w:color="FFFFFF" w:sz="0"/>
            </w:tcBorders>
            <w:shd w:fill="F4F4F1"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Der Interessenkonflikt zwischen Verkauf und Aufklärung ist nicht auflösbar.</w:t>
            </w:r>
          </w:p>
        </w:tc>
        <w:tc>
          <w:tcPr>
            <w:tcW w:type="dxa" w:w="2924"/>
            <w:tcBorders>
              <w:top w:val="none" w:color="FFFFFF" w:sz="0"/>
              <w:left w:val="none" w:color="FFFFFF" w:sz="0"/>
              <w:bottom w:val="single" w:color="E2E2DE" w:sz="4"/>
              <w:right w:val="none" w:color="FFFFFF" w:sz="0"/>
            </w:tcBorders>
            <w:shd w:fill="F4F4F1"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Er ist nicht auflösbar, nur beherrschbar.</w:t>
            </w:r>
          </w:p>
        </w:tc>
        <w:tc>
          <w:tcPr>
            <w:tcW w:type="dxa" w:w="4288"/>
            <w:tcBorders>
              <w:top w:val="none" w:color="FFFFFF" w:sz="0"/>
              <w:left w:val="none" w:color="FFFFFF" w:sz="0"/>
              <w:bottom w:val="single" w:color="E2E2DE" w:sz="4"/>
              <w:right w:val="none" w:color="FFFFFF" w:sz="0"/>
            </w:tcBorders>
            <w:shd w:fill="F4F4F1"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Die Regeln in Kapitel 10, öffentlich dokumentiert und für Partner vertraglich bindend.</w:t>
            </w:r>
          </w:p>
        </w:tc>
      </w:tr>
    </w:tbl>
    <w:p>
      <w:r>
        <w:br w:type="page"/>
      </w:r>
    </w:p>
    <w:p>
      <w:pPr>
        <w:pStyle w:val="Heading1"/>
        <w:pBdr>
          <w:bottom w:val="single" w:color="E4452B" w:sz="6" w:space="7"/>
        </w:pBdr>
        <w:spacing w:after="60" w:before="380"/>
      </w:pPr>
      <w:r>
        <w:rPr>
          <w:rFonts w:ascii="Arial" w:cs="Arial" w:eastAsia="Arial" w:hAnsi="Arial"/>
          <w:b/>
          <w:bCs/>
          <w:color w:val="15171A"/>
          <w:sz w:val="30"/>
          <w:szCs w:val="30"/>
        </w:rPr>
        <w:t xml:space="preserve">12. Quellen</w:t>
      </w:r>
    </w:p>
    <w:p>
      <w:pPr>
        <w:spacing w:after="110" w:line="280"/>
      </w:pPr>
      <w:r>
        <w:rPr>
          <w:rFonts w:ascii="Arial" w:cs="Arial" w:eastAsia="Arial" w:hAnsi="Arial"/>
          <w:b w:val="false"/>
          <w:bCs w:val="false"/>
          <w:i w:val="false"/>
          <w:iCs w:val="false"/>
          <w:color w:val="1A1A1A"/>
          <w:sz w:val="20"/>
          <w:szCs w:val="20"/>
        </w:rPr>
        <w:t xml:space="preserve">Extern belegte Zahlen. Alle übrigen Werte in diesem Papier sind Planungsannahmen des Gründerteams.</w:t>
      </w:r>
    </w:p>
    <w:tbl>
      <w:tblPr>
        <w:tblW w:type="dxa" w:w="974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5068"/>
        <w:gridCol w:w="4678"/>
      </w:tblGrid>
      <w:tr>
        <w:trPr>
          <w:tblHeader/>
        </w:trPr>
        <w:tc>
          <w:tcPr>
            <w:tcW w:type="dxa" w:w="5068"/>
            <w:tcBorders>
              <w:top w:val="none" w:color="FFFFFF" w:sz="0"/>
              <w:left w:val="none" w:color="FFFFFF" w:sz="0"/>
              <w:bottom w:val="single" w:color="E2E2DE" w:sz="4"/>
              <w:right w:val="none" w:color="FFFFFF" w:sz="0"/>
            </w:tcBorders>
            <w:shd w:fill="15171A" w:color="auto" w:val="clear"/>
            <w:tcMar>
              <w:top w:type="dxa" w:w="90"/>
              <w:left w:type="dxa" w:w="130"/>
              <w:bottom w:type="dxa" w:w="90"/>
              <w:right w:type="dxa" w:w="130"/>
            </w:tcMar>
          </w:tcPr>
          <w:p>
            <w:pPr>
              <w:jc w:val="left"/>
            </w:pPr>
            <w:r>
              <w:rPr>
                <w:rFonts w:ascii="Arial" w:cs="Arial" w:eastAsia="Arial" w:hAnsi="Arial"/>
                <w:b/>
                <w:bCs/>
                <w:color w:val="FFFFFF"/>
                <w:sz w:val="18"/>
                <w:szCs w:val="18"/>
              </w:rPr>
              <w:t xml:space="preserve">Aussage</w:t>
            </w:r>
          </w:p>
        </w:tc>
        <w:tc>
          <w:tcPr>
            <w:tcW w:type="dxa" w:w="4678"/>
            <w:tcBorders>
              <w:top w:val="none" w:color="FFFFFF" w:sz="0"/>
              <w:left w:val="none" w:color="FFFFFF" w:sz="0"/>
              <w:bottom w:val="single" w:color="E2E2DE" w:sz="4"/>
              <w:right w:val="none" w:color="FFFFFF" w:sz="0"/>
            </w:tcBorders>
            <w:shd w:fill="15171A" w:color="auto" w:val="clear"/>
            <w:tcMar>
              <w:top w:type="dxa" w:w="90"/>
              <w:left w:type="dxa" w:w="130"/>
              <w:bottom w:type="dxa" w:w="90"/>
              <w:right w:type="dxa" w:w="130"/>
            </w:tcMar>
          </w:tcPr>
          <w:p>
            <w:pPr>
              <w:jc w:val="left"/>
            </w:pPr>
            <w:r>
              <w:rPr>
                <w:rFonts w:ascii="Arial" w:cs="Arial" w:eastAsia="Arial" w:hAnsi="Arial"/>
                <w:b/>
                <w:bCs/>
                <w:color w:val="FFFFFF"/>
                <w:sz w:val="18"/>
                <w:szCs w:val="18"/>
              </w:rPr>
              <w:t xml:space="preserve">Quelle</w:t>
            </w:r>
          </w:p>
        </w:tc>
      </w:tr>
      <w:tr>
        <w:trPr>
          <w:tblHeader w:val="false"/>
        </w:trPr>
        <w:tc>
          <w:tcPr>
            <w:tcW w:type="dxa" w:w="5068"/>
            <w:tcBorders>
              <w:top w:val="none" w:color="FFFFFF" w:sz="0"/>
              <w:left w:val="none" w:color="FFFFFF" w:sz="0"/>
              <w:bottom w:val="single" w:color="E2E2DE" w:sz="4"/>
              <w:right w:val="none" w:color="FFFFFF" w:sz="0"/>
            </w:tcBorders>
            <w:shd w:fill="FFFFFF"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542.076 Industrieroboter weltweit installiert 2024; Deutschland 26.982 Einheiten; Roboterdichte Deutschland 449 je 10.000 Beschäftigte (Platz 3 weltweit)</w:t>
            </w:r>
          </w:p>
        </w:tc>
        <w:tc>
          <w:tcPr>
            <w:tcW w:type="dxa" w:w="4678"/>
            <w:tcBorders>
              <w:top w:val="none" w:color="FFFFFF" w:sz="0"/>
              <w:left w:val="none" w:color="FFFFFF" w:sz="0"/>
              <w:bottom w:val="single" w:color="E2E2DE" w:sz="4"/>
              <w:right w:val="none" w:color="FFFFFF" w:sz="0"/>
            </w:tcBorders>
            <w:shd w:fill="FFFFFF"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International Federation of Robotics, World Robotics 2025 (September 2025) — ifr.org</w:t>
            </w:r>
          </w:p>
        </w:tc>
      </w:tr>
      <w:tr>
        <w:trPr>
          <w:tblHeader w:val="false"/>
        </w:trPr>
        <w:tc>
          <w:tcPr>
            <w:tcW w:type="dxa" w:w="5068"/>
            <w:tcBorders>
              <w:top w:val="none" w:color="FFFFFF" w:sz="0"/>
              <w:left w:val="none" w:color="FFFFFF" w:sz="0"/>
              <w:bottom w:val="single" w:color="E2E2DE" w:sz="4"/>
              <w:right w:val="none" w:color="FFFFFF" w:sz="0"/>
            </w:tcBorders>
            <w:shd w:fill="F4F4F1"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41 % der deutschen Unternehmen nutzen KI aktiv, 48 % planen oder diskutieren es, 21 % haben eine formale KI-Strategie, 33 % berichten höhere Kosten als erwartet</w:t>
            </w:r>
          </w:p>
        </w:tc>
        <w:tc>
          <w:tcPr>
            <w:tcW w:type="dxa" w:w="4678"/>
            <w:tcBorders>
              <w:top w:val="none" w:color="FFFFFF" w:sz="0"/>
              <w:left w:val="none" w:color="FFFFFF" w:sz="0"/>
              <w:bottom w:val="single" w:color="E2E2DE" w:sz="4"/>
              <w:right w:val="none" w:color="FFFFFF" w:sz="0"/>
            </w:tcBorders>
            <w:shd w:fill="F4F4F1"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Bitkom, „Künstliche Intelligenz in Deutschland“, Studienbericht 2026 (604 Unternehmen ab 20 Beschäftigten) — bitkom.org</w:t>
            </w:r>
          </w:p>
        </w:tc>
      </w:tr>
      <w:tr>
        <w:trPr>
          <w:tblHeader w:val="false"/>
        </w:trPr>
        <w:tc>
          <w:tcPr>
            <w:tcW w:type="dxa" w:w="5068"/>
            <w:tcBorders>
              <w:top w:val="none" w:color="FFFFFF" w:sz="0"/>
              <w:left w:val="none" w:color="FFFFFF" w:sz="0"/>
              <w:bottom w:val="single" w:color="E2E2DE" w:sz="4"/>
              <w:right w:val="none" w:color="FFFFFF" w:sz="0"/>
            </w:tcBorders>
            <w:shd w:fill="FFFFFF"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46 % der Industrieunternehmen sehen sich beim KI-Einsatz als Nachzügler; 78 % halten KI für wettbewerbsentscheidend; 27 % planen 2026 höhere Investitionen, 20 % geringere; 58 % sehen humanoide Roboter als Mittel gegen Fachkräftemangel</w:t>
            </w:r>
          </w:p>
        </w:tc>
        <w:tc>
          <w:tcPr>
            <w:tcW w:type="dxa" w:w="4678"/>
            <w:tcBorders>
              <w:top w:val="none" w:color="FFFFFF" w:sz="0"/>
              <w:left w:val="none" w:color="FFFFFF" w:sz="0"/>
              <w:bottom w:val="single" w:color="E2E2DE" w:sz="4"/>
              <w:right w:val="none" w:color="FFFFFF" w:sz="0"/>
            </w:tcBorders>
            <w:shd w:fill="FFFFFF"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Bitkom Research, „Humanoide Roboter, KI &amp; Co.“, April 2026 (555 Industrieunternehmen ab 100 Beschäftigten) — bitkom.org</w:t>
            </w:r>
          </w:p>
        </w:tc>
      </w:tr>
      <w:tr>
        <w:trPr>
          <w:tblHeader w:val="false"/>
        </w:trPr>
        <w:tc>
          <w:tcPr>
            <w:tcW w:type="dxa" w:w="5068"/>
            <w:tcBorders>
              <w:top w:val="none" w:color="FFFFFF" w:sz="0"/>
              <w:left w:val="none" w:color="FFFFFF" w:sz="0"/>
              <w:bottom w:val="single" w:color="E2E2DE" w:sz="4"/>
              <w:right w:val="none" w:color="FFFFFF" w:sz="0"/>
            </w:tcBorders>
            <w:shd w:fill="F4F4F1"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289,2 Mrd. € Schaden für die deutsche Wirtschaft durch Diebstahl, Spionage und Sabotage; 87 % der Unternehmen betroffen</w:t>
            </w:r>
          </w:p>
        </w:tc>
        <w:tc>
          <w:tcPr>
            <w:tcW w:type="dxa" w:w="4678"/>
            <w:tcBorders>
              <w:top w:val="none" w:color="FFFFFF" w:sz="0"/>
              <w:left w:val="none" w:color="FFFFFF" w:sz="0"/>
              <w:bottom w:val="single" w:color="E2E2DE" w:sz="4"/>
              <w:right w:val="none" w:color="FFFFFF" w:sz="0"/>
            </w:tcBorders>
            <w:shd w:fill="F4F4F1"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Bitkom, „Wirtschaftsschutz 2025“ (1.002 Unternehmen) — bitkom.org</w:t>
            </w:r>
          </w:p>
        </w:tc>
      </w:tr>
      <w:tr>
        <w:trPr>
          <w:tblHeader w:val="false"/>
        </w:trPr>
        <w:tc>
          <w:tcPr>
            <w:tcW w:type="dxa" w:w="5068"/>
            <w:tcBorders>
              <w:top w:val="none" w:color="FFFFFF" w:sz="0"/>
              <w:left w:val="none" w:color="FFFFFF" w:sz="0"/>
              <w:bottom w:val="single" w:color="E2E2DE" w:sz="4"/>
              <w:right w:val="none" w:color="FFFFFF" w:sz="0"/>
            </w:tcBorders>
            <w:shd w:fill="FFFFFF"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MINT-Fachkräftelücke 133.900 Personen (März 2026); Prognose 138.600 fehlende MINT-Beschäftigte bis 2034</w:t>
            </w:r>
          </w:p>
        </w:tc>
        <w:tc>
          <w:tcPr>
            <w:tcW w:type="dxa" w:w="4678"/>
            <w:tcBorders>
              <w:top w:val="none" w:color="FFFFFF" w:sz="0"/>
              <w:left w:val="none" w:color="FFFFFF" w:sz="0"/>
              <w:bottom w:val="single" w:color="E2E2DE" w:sz="4"/>
              <w:right w:val="none" w:color="FFFFFF" w:sz="0"/>
            </w:tcBorders>
            <w:shd w:fill="FFFFFF"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Institut der deutschen Wirtschaft Köln, MINT-Frühjahrsreport 2026 — iwkoeln.de</w:t>
            </w:r>
          </w:p>
        </w:tc>
      </w:tr>
      <w:tr>
        <w:trPr>
          <w:tblHeader w:val="false"/>
        </w:trPr>
        <w:tc>
          <w:tcPr>
            <w:tcW w:type="dxa" w:w="5068"/>
            <w:tcBorders>
              <w:top w:val="none" w:color="FFFFFF" w:sz="0"/>
              <w:left w:val="none" w:color="FFFFFF" w:sz="0"/>
              <w:bottom w:val="single" w:color="E2E2DE" w:sz="4"/>
              <w:right w:val="none" w:color="FFFFFF" w:sz="0"/>
            </w:tcBorders>
            <w:shd w:fill="F4F4F1"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2,4 Mio. Einwohner, rund 160.000 Unternehmen, 22 Hochschulen, 15 Stadt- und Landkreise mit 290 Kommunen; Forschungsbeschäftigung mehr als doppelt so hoch wie im Bundesschnitt</w:t>
            </w:r>
          </w:p>
        </w:tc>
        <w:tc>
          <w:tcPr>
            <w:tcW w:type="dxa" w:w="4678"/>
            <w:tcBorders>
              <w:top w:val="none" w:color="FFFFFF" w:sz="0"/>
              <w:left w:val="none" w:color="FFFFFF" w:sz="0"/>
              <w:bottom w:val="single" w:color="E2E2DE" w:sz="4"/>
              <w:right w:val="none" w:color="FFFFFF" w:sz="0"/>
            </w:tcBorders>
            <w:shd w:fill="F4F4F1"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Metropolregion Rhein-Neckar GmbH; Verband Region Rhein-Neckar — m-r-n.com</w:t>
            </w:r>
          </w:p>
        </w:tc>
      </w:tr>
      <w:tr>
        <w:trPr>
          <w:tblHeader w:val="false"/>
        </w:trPr>
        <w:tc>
          <w:tcPr>
            <w:tcW w:type="dxa" w:w="5068"/>
            <w:tcBorders>
              <w:top w:val="none" w:color="FFFFFF" w:sz="0"/>
              <w:left w:val="none" w:color="FFFFFF" w:sz="0"/>
              <w:bottom w:val="single" w:color="E2E2DE" w:sz="4"/>
              <w:right w:val="none" w:color="FFFFFF" w:sz="0"/>
            </w:tcBorders>
            <w:shd w:fill="FFFFFF"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Deutschland ist Europas größter und weltweit fünftgrößter Robotikmarkt</w:t>
            </w:r>
          </w:p>
        </w:tc>
        <w:tc>
          <w:tcPr>
            <w:tcW w:type="dxa" w:w="4678"/>
            <w:tcBorders>
              <w:top w:val="none" w:color="FFFFFF" w:sz="0"/>
              <w:left w:val="none" w:color="FFFFFF" w:sz="0"/>
              <w:bottom w:val="single" w:color="E2E2DE" w:sz="4"/>
              <w:right w:val="none" w:color="FFFFFF" w:sz="0"/>
            </w:tcBorders>
            <w:shd w:fill="FFFFFF"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Germany Trade &amp; Invest, Robotics Industry — gtai.de</w:t>
            </w:r>
          </w:p>
        </w:tc>
      </w:tr>
      <w:tr>
        <w:trPr>
          <w:tblHeader w:val="false"/>
        </w:trPr>
        <w:tc>
          <w:tcPr>
            <w:tcW w:type="dxa" w:w="5068"/>
            <w:tcBorders>
              <w:top w:val="none" w:color="FFFFFF" w:sz="0"/>
              <w:left w:val="none" w:color="FFFFFF" w:sz="0"/>
              <w:bottom w:val="single" w:color="E2E2DE" w:sz="4"/>
              <w:right w:val="none" w:color="FFFFFF" w:sz="0"/>
            </w:tcBorders>
            <w:shd w:fill="F4F4F1"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Terra Robotics als offizieller UBTECH-Distributor in der DACH-Region</w:t>
            </w:r>
          </w:p>
        </w:tc>
        <w:tc>
          <w:tcPr>
            <w:tcW w:type="dxa" w:w="4678"/>
            <w:tcBorders>
              <w:top w:val="none" w:color="FFFFFF" w:sz="0"/>
              <w:left w:val="none" w:color="FFFFFF" w:sz="0"/>
              <w:bottom w:val="single" w:color="E2E2DE" w:sz="4"/>
              <w:right w:val="none" w:color="FFFFFF" w:sz="0"/>
            </w:tcBorders>
            <w:shd w:fill="F4F4F1" w:color="auto" w:val="clear"/>
            <w:tcMar>
              <w:top w:type="dxa" w:w="90"/>
              <w:left w:type="dxa" w:w="130"/>
              <w:bottom w:type="dxa" w:w="90"/>
              <w:right w:type="dxa" w:w="130"/>
            </w:tcMar>
          </w:tcPr>
          <w:p>
            <w:pPr>
              <w:jc w:val="left"/>
            </w:pPr>
            <w:r>
              <w:rPr>
                <w:rFonts w:ascii="Arial" w:cs="Arial" w:eastAsia="Arial" w:hAnsi="Arial"/>
                <w:b w:val="false"/>
                <w:bCs w:val="false"/>
                <w:color w:val="1A1A1A"/>
                <w:sz w:val="18"/>
                <w:szCs w:val="18"/>
              </w:rPr>
              <w:t xml:space="preserve">terra-robotics.de</w:t>
            </w:r>
          </w:p>
        </w:tc>
      </w:tr>
    </w:tbl>
    <w:p>
      <w:pPr>
        <w:spacing w:after="110" w:line="280"/>
      </w:pPr>
      <w:r>
        <w:rPr>
          <w:rFonts w:ascii="Arial" w:cs="Arial" w:eastAsia="Arial" w:hAnsi="Arial"/>
          <w:b w:val="false"/>
          <w:bCs w:val="false"/>
          <w:i w:val="false"/>
          <w:iCs w:val="false"/>
          <w:color w:val="1A1A1A"/>
          <w:sz w:val="20"/>
          <w:szCs w:val="20"/>
        </w:rPr>
        <w:t xml:space="preserve"/>
      </w:r>
    </w:p>
    <w:p>
      <w:pPr>
        <w:pBdr>
          <w:bottom w:val="single" w:color="E2E2DE" w:sz="6" w:space="2"/>
        </w:pBdr>
        <w:spacing w:after="120" w:before="60"/>
      </w:pPr>
      <w:r>
        <w:rPr>
          <w:rFonts w:ascii="Arial" w:cs="Arial" w:eastAsia="Arial" w:hAnsi="Arial"/>
          <w:b w:val="false"/>
          <w:bCs w:val="false"/>
          <w:i w:val="false"/>
          <w:iCs w:val="false"/>
          <w:color w:val="1A1A1A"/>
          <w:sz w:val="20"/>
          <w:szCs w:val="20"/>
        </w:rPr>
        <w:t xml:space="preserve"/>
      </w:r>
    </w:p>
    <w:p>
      <w:pPr>
        <w:spacing w:after="110" w:line="280"/>
      </w:pPr>
      <w:r>
        <w:rPr>
          <w:rFonts w:ascii="Arial" w:cs="Arial" w:eastAsia="Arial" w:hAnsi="Arial"/>
          <w:b w:val="false"/>
          <w:bCs w:val="false"/>
          <w:i w:val="false"/>
          <w:iCs w:val="false"/>
          <w:color w:val="7A7F85"/>
          <w:sz w:val="16"/>
          <w:szCs w:val="16"/>
        </w:rPr>
        <w:t xml:space="preserve">ROBANTIS Heidelberg · Robotic &amp; AI Center · Ein Projekt der dcyphr.® GmbH · Konzeptpapier Version 4 · August 2026. Dieses Dokument ist ein Konzept- und Planungspapier. Es enthält keine Prognose, keine Zusage und kein Angebot zur Zeichnung von Anteilen.</w:t>
      </w:r>
    </w:p>
    <w:sectPr>
      <w:footerReference w:type="default" r:id="rId7"/>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2E2DE" w:sz="4" w:space="6"/>
      </w:pBdr>
      <w:jc w:val="right"/>
    </w:pPr>
    <w:r>
      <w:rPr>
        <w:rFonts w:ascii="Arial" w:cs="Arial" w:eastAsia="Arial" w:hAnsi="Arial"/>
        <w:color w:val="7A7F85"/>
        <w:sz w:val="15"/>
        <w:szCs w:val="15"/>
      </w:rPr>
      <w:t xml:space="preserve">ROBANTIS Heidelberg · Konzeptpapier v4 · Seite   </w:t>
    </w:r>
    <w:r>
      <w:rPr>
        <w:rFonts w:ascii="Arial" w:cs="Arial" w:eastAsia="Arial" w:hAnsi="Arial"/>
        <w:b/>
        <w:bCs/>
        <w:color w:val="15171A"/>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40" w:hanging="200"/>
      </w:pPr>
      <w:rPr>
        <w:rFonts w:ascii="Arial" w:cs="Arial" w:eastAsia="Arial" w:hAnsi="Arial"/>
        <w:b/>
        <w:bCs/>
        <w:color w:val="E4452B"/>
      </w:rPr>
    </w:lvl>
  </w:abstractNum>
  <w:abstractNum w:abstractNumId="3" w15:restartNumberingAfterBreak="0">
    <w:multiLevelType w:val="hybridMultilevel"/>
    <w:lvl w:ilvl="0" w15:tentative="1">
      <w:start w:val="1"/>
      <w:numFmt w:val="decimal"/>
      <w:lvlText w:val="%1."/>
      <w:lvlJc w:val="left"/>
      <w:pPr>
        <w:ind w:left="360" w:hanging="240"/>
      </w:pPr>
      <w:rPr>
        <w:rFonts w:ascii="Arial" w:cs="Arial" w:eastAsia="Arial" w:hAnsi="Arial"/>
        <w:b/>
        <w:bCs/>
        <w:color w:val="E4452B"/>
      </w:r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0bbda72e2cf749ddeaa5258204bbba20c2c362c7.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2026-08-23T14:45:04.154Z</dcterms:created>
  <dcterms:modified xsi:type="dcterms:W3CDTF">2026-08-23T14:45:04.155Z</dcterms:modified>
</cp:coreProperties>
</file>

<file path=docProps/custom.xml><?xml version="1.0" encoding="utf-8"?>
<Properties xmlns="http://schemas.openxmlformats.org/officeDocument/2006/custom-properties" xmlns:vt="http://schemas.openxmlformats.org/officeDocument/2006/docPropsVTypes"/>
</file>