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20"/>
      </w:pPr>
      <w:r>
        <w:drawing>
          <wp:inline distT="0" distB="0" distL="0" distR="0">
            <wp:extent cx="2857500" cy="5334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cs="Arial" w:eastAsia="Arial" w:hAnsi="Arial"/>
          <w:b/>
          <w:bCs/>
          <w:color w:val="E4452B"/>
          <w:spacing w:val="60"/>
          <w:sz w:val="17"/>
          <w:szCs w:val="17"/>
        </w:rPr>
        <w:t xml:space="preserve">BUSINESSPLAN · VERSION 4</w:t>
      </w:r>
    </w:p>
    <w:p>
      <w:pPr>
        <w:spacing w:after="100"/>
      </w:pPr>
      <w:r>
        <w:rPr>
          <w:rFonts w:ascii="Arial" w:cs="Arial" w:eastAsia="Arial" w:hAnsi="Arial"/>
          <w:b/>
          <w:bCs/>
          <w:color w:val="15171A"/>
          <w:sz w:val="56"/>
          <w:szCs w:val="56"/>
        </w:rPr>
        <w:t xml:space="preserve">750.000 € für 24 Monate</w:t>
      </w:r>
    </w:p>
    <w:p>
      <w:pPr>
        <w:spacing w:after="300"/>
      </w:pPr>
      <w:r>
        <w:rPr>
          <w:rFonts w:ascii="Arial" w:cs="Arial" w:eastAsia="Arial" w:hAnsi="Arial"/>
          <w:color w:val="7A7F85"/>
          <w:sz w:val="24"/>
          <w:szCs w:val="24"/>
        </w:rPr>
        <w:t xml:space="preserve">Pilotstandort Heidelberg: Robotic &amp; AI Center als Knotenpunkt zwischen Gesellschaft, Unternehmen, Forschung, Lehre und Technik.</w:t>
      </w:r>
    </w:p>
    <w:p>
      <w:pPr>
        <w:pBdr>
          <w:bottom w:val="single" w:color="E2E2DE" w:sz="6" w:space="2"/>
        </w:pBdr>
        <w:spacing w:after="12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60"/>
      </w:pPr>
      <w:r>
        <w:rPr>
          <w:rFonts w:ascii="Arial" w:cs="Arial" w:eastAsia="Arial" w:hAnsi="Arial"/>
          <w:color w:val="7A7F85"/>
          <w:sz w:val="17"/>
          <w:szCs w:val="17"/>
        </w:rPr>
        <w:t xml:space="preserve">Für Investor:innen, Banken, Förderinstitute und Partner · Stand: August 2026 · Ein Projekt der dcyphr.® GmbH</w:t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  <w:tblLayout w:type="fixed"/>
      </w:tblPr>
      <w:tblGrid>
        <w:gridCol w:w="2436"/>
        <w:gridCol w:w="2436"/>
        <w:gridCol w:w="2436"/>
        <w:gridCol w:w="2438"/>
      </w:tblGrid>
      <w:tr>
        <w:tc>
          <w:tcPr>
            <w:tcW w:type="dxa" w:w="2436"/>
            <w:tcBorders>
              <w:top w:val="none" w:color="FFFFFF" w:sz="0"/>
              <w:left w:val="none" w:color="FFFFFF" w:sz="0"/>
              <w:bottom w:val="none" w:color="FFFFFF" w:sz="0"/>
              <w:right w:val="single" w:color="FFFFFF" w:sz="10"/>
            </w:tcBorders>
            <w:shd w:fill="15171A" w:color="auto" w:val="clear"/>
            <w:tcMar>
              <w:top w:type="dxa" w:w="170"/>
              <w:left w:type="dxa" w:w="140"/>
              <w:bottom w:type="dxa" w:w="170"/>
              <w:right w:type="dxa" w:w="14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color w:val="E4452B"/>
                <w:sz w:val="30"/>
                <w:szCs w:val="30"/>
              </w:rPr>
              <w:t xml:space="preserve">750.000 €</w:t>
            </w:r>
          </w:p>
          <w:p>
            <w:r>
              <w:rPr>
                <w:rFonts w:ascii="Arial" w:cs="Arial" w:eastAsia="Arial" w:hAnsi="Arial"/>
                <w:color w:val="D8E2EA"/>
                <w:sz w:val="15"/>
                <w:szCs w:val="15"/>
              </w:rPr>
              <w:t xml:space="preserve">Finanzierungsrahmen
für 24 Monate</w:t>
            </w:r>
          </w:p>
        </w:tc>
        <w:tc>
          <w:tcPr>
            <w:tcW w:type="dxa" w:w="2436"/>
            <w:tcBorders>
              <w:top w:val="none" w:color="FFFFFF" w:sz="0"/>
              <w:left w:val="none" w:color="FFFFFF" w:sz="0"/>
              <w:bottom w:val="none" w:color="FFFFFF" w:sz="0"/>
              <w:right w:val="single" w:color="FFFFFF" w:sz="10"/>
            </w:tcBorders>
            <w:shd w:fill="15171A" w:color="auto" w:val="clear"/>
            <w:tcMar>
              <w:top w:type="dxa" w:w="170"/>
              <w:left w:type="dxa" w:w="140"/>
              <w:bottom w:type="dxa" w:w="170"/>
              <w:right w:type="dxa" w:w="14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color w:val="E4452B"/>
                <w:sz w:val="30"/>
                <w:szCs w:val="30"/>
              </w:rPr>
              <w:t xml:space="preserve">Monat 14</w:t>
            </w:r>
          </w:p>
          <w:p>
            <w:r>
              <w:rPr>
                <w:rFonts w:ascii="Arial" w:cs="Arial" w:eastAsia="Arial" w:hAnsi="Arial"/>
                <w:color w:val="D8E2EA"/>
                <w:sz w:val="15"/>
                <w:szCs w:val="15"/>
              </w:rPr>
              <w:t xml:space="preserve">dauerhaft positives
EBITDA (Base Case)</w:t>
            </w:r>
          </w:p>
        </w:tc>
        <w:tc>
          <w:tcPr>
            <w:tcW w:type="dxa" w:w="2436"/>
            <w:tcBorders>
              <w:top w:val="none" w:color="FFFFFF" w:sz="0"/>
              <w:left w:val="none" w:color="FFFFFF" w:sz="0"/>
              <w:bottom w:val="none" w:color="FFFFFF" w:sz="0"/>
              <w:right w:val="single" w:color="FFFFFF" w:sz="10"/>
            </w:tcBorders>
            <w:shd w:fill="15171A" w:color="auto" w:val="clear"/>
            <w:tcMar>
              <w:top w:type="dxa" w:w="170"/>
              <w:left w:type="dxa" w:w="140"/>
              <w:bottom w:type="dxa" w:w="170"/>
              <w:right w:type="dxa" w:w="14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color w:val="E4452B"/>
                <w:sz w:val="30"/>
                <w:szCs w:val="30"/>
              </w:rPr>
              <w:t xml:space="preserve">1,37 Mio. €</w:t>
            </w:r>
          </w:p>
          <w:p>
            <w:r>
              <w:rPr>
                <w:rFonts w:ascii="Arial" w:cs="Arial" w:eastAsia="Arial" w:hAnsi="Arial"/>
                <w:color w:val="D8E2EA"/>
                <w:sz w:val="15"/>
                <w:szCs w:val="15"/>
              </w:rPr>
              <w:t xml:space="preserve">Umsatz Jahr 2
(Base Case)</w:t>
            </w:r>
          </w:p>
        </w:tc>
        <w:tc>
          <w:tcPr>
            <w:tcW w:type="dxa" w:w="24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5171A" w:color="auto" w:val="clear"/>
            <w:tcMar>
              <w:top w:type="dxa" w:w="170"/>
              <w:left w:type="dxa" w:w="140"/>
              <w:bottom w:type="dxa" w:w="170"/>
              <w:right w:type="dxa" w:w="140"/>
            </w:tcMar>
          </w:tcPr>
          <w:p>
            <w:pPr>
              <w:spacing w:after="30"/>
            </w:pPr>
            <w:r>
              <w:rPr>
                <w:rFonts w:ascii="Arial" w:cs="Arial" w:eastAsia="Arial" w:hAnsi="Arial"/>
                <w:b/>
                <w:bCs/>
                <w:color w:val="E4452B"/>
                <w:sz w:val="30"/>
                <w:szCs w:val="30"/>
              </w:rPr>
              <w:t xml:space="preserve">28,8 %</w:t>
            </w:r>
          </w:p>
          <w:p>
            <w:r>
              <w:rPr>
                <w:rFonts w:ascii="Arial" w:cs="Arial" w:eastAsia="Arial" w:hAnsi="Arial"/>
                <w:color w:val="D8E2EA"/>
                <w:sz w:val="15"/>
                <w:szCs w:val="15"/>
              </w:rPr>
              <w:t xml:space="preserve">EBITDA-Marge
Jahr 2</w:t>
            </w:r>
          </w:p>
        </w:tc>
      </w:tr>
    </w:tbl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/>
          <w:iCs/>
          <w:color w:val="7A7F85"/>
          <w:sz w:val="16"/>
          <w:szCs w:val="16"/>
        </w:rPr>
        <w:t xml:space="preserve">Alle Finanzwerte stammen aus dem beigefügten Modell ROBANTIS_Finanzplan_v4.xlsx und sind dort vollständig nachvollziehbar. Es handelt sich um ein Planungsszenario, nicht um eine Prognose oder Zusage.</w:t>
      </w:r>
    </w:p>
    <w:p>
      <w:r>
        <w:br w:type="page"/>
      </w:r>
    </w:p>
    <w:p>
      <w:pPr>
        <w:pStyle w:val="Heading1"/>
        <w:pBdr>
          <w:bottom w:val="single" w:color="E4452B" w:sz="6" w:space="7"/>
        </w:pBdr>
        <w:spacing w:after="60" w:before="380"/>
      </w:pPr>
      <w:r>
        <w:rPr>
          <w:rFonts w:ascii="Arial" w:cs="Arial" w:eastAsia="Arial" w:hAnsi="Arial"/>
          <w:b/>
          <w:bCs/>
          <w:color w:val="15171A"/>
          <w:sz w:val="30"/>
          <w:szCs w:val="30"/>
        </w:rPr>
        <w:t xml:space="preserve">1. Executive Summary</w:t>
      </w:r>
    </w:p>
    <w:p>
      <w:pPr>
        <w:spacing w:after="200" w:line="300"/>
      </w:pPr>
      <w:r>
        <w:rPr>
          <w:rFonts w:ascii="Arial" w:cs="Arial" w:eastAsia="Arial" w:hAnsi="Arial"/>
          <w:color w:val="15171A"/>
          <w:sz w:val="22"/>
          <w:szCs w:val="22"/>
        </w:rPr>
        <w:t xml:space="preserve">ROBANTIS Heidelberg ist ein stationäres Robotic &amp; AI Center, das fünf Felder an einem Ort verbindet: Gesellschaft, Unternehmen, Forschung, Lehre und Technik. Das Geschäftsmodell verkauft nicht Technologie, sondern Umsetzung – und finanziert seinen gesellschaftlichen Auftrag aus dem laufenden Betrieb statt aus Zuschüssen.</w:t>
      </w:r>
    </w:p>
    <w:p>
      <w:pPr>
        <w:pStyle w:val="Heading3"/>
        <w:spacing w:after="30" w:before="180"/>
      </w:pPr>
      <w:r>
        <w:rPr>
          <w:rFonts w:ascii="Arial" w:cs="Arial" w:eastAsia="Arial" w:hAnsi="Arial"/>
          <w:b/>
          <w:bCs/>
          <w:color w:val="7A7F85"/>
          <w:sz w:val="20"/>
          <w:szCs w:val="20"/>
        </w:rPr>
        <w:t xml:space="preserve">Das Problem</w:t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41 % der deutschen Unternehmen setzen KI aktiv ein, weitere 48 % planen oder diskutieren es. Aber nur 21 % haben eine formale Strategie, 33 % berichten höhere Kosten als erwartet, und 46 % der Industrieunternehmen sehen sich selbst als Nachzügler. Der Engpass ist nicht die Technologie. Er ist die Umsetzung – und dafür gibt es in Deutschland keinen physischen Ort.</w:t>
      </w:r>
    </w:p>
    <w:p>
      <w:pPr>
        <w:pStyle w:val="Heading3"/>
        <w:spacing w:after="30" w:before="180"/>
      </w:pPr>
      <w:r>
        <w:rPr>
          <w:rFonts w:ascii="Arial" w:cs="Arial" w:eastAsia="Arial" w:hAnsi="Arial"/>
          <w:b/>
          <w:bCs/>
          <w:color w:val="7A7F85"/>
          <w:sz w:val="20"/>
          <w:szCs w:val="20"/>
        </w:rPr>
        <w:t xml:space="preserve">Die Lösung</w:t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Ein Center, an dem Unternehmen Roboter testen und kaufen, Einzelpersonen und Teams mit Laptop kommen und mit funktionierenden AI Agents gehen, Hersteller einen regionalen Service- und Erlebnispunkt bekommen, Schulen und Kommunen Kompetenz aufbauen und Bürger:innen Fragen stellen dürfen. Fünf Zielgruppen, ein Dach, ein sich gegenseitig verstärkender Vertriebskreislauf.</w:t>
      </w:r>
    </w:p>
    <w:p>
      <w:pPr>
        <w:pStyle w:val="Heading3"/>
        <w:spacing w:after="30" w:before="180"/>
      </w:pPr>
      <w:r>
        <w:rPr>
          <w:rFonts w:ascii="Arial" w:cs="Arial" w:eastAsia="Arial" w:hAnsi="Arial"/>
          <w:b/>
          <w:bCs/>
          <w:color w:val="7A7F85"/>
          <w:sz w:val="20"/>
          <w:szCs w:val="20"/>
        </w:rPr>
        <w:t xml:space="preserve">Die Zahlen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314"/>
        <w:gridCol w:w="2144"/>
        <w:gridCol w:w="2144"/>
        <w:gridCol w:w="2144"/>
      </w:tblGrid>
      <w:tr>
        <w:trPr>
          <w:tblHeader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Kennzahl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Jahr 1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Jahr 2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Jahr 3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Gesamtumsatz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345.506 €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1.366.332 €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2.919.080 €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Gesamtkosten (OPEX)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509.565 €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972.720 €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1.861.000 €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EBITDA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−164.059 €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393.612 €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1.058.080 €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EBITDA-Marge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−47,5 %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28,8 %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36,2 %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Anteil wiederkehrender Umsatz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11,5 %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19,8 %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24,5 %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Anteil Public Impact am Umsatz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11,2 %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14,8 %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16,4 %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Vollzeitstellen (Ø)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4,3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9,0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16,0</w:t>
            </w:r>
          </w:p>
        </w:tc>
      </w:tr>
    </w:tbl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tbl>
      <w:tblPr>
        <w:tblW w:type="dxa" w:w="9746"/>
        <w:tblBorders>
          <w:top w:val="none" w:color="FFFFFF" w:sz="0"/>
          <w:left w:val="single" w:color="E4452B" w:sz="12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9746"/>
      </w:tblGrid>
      <w:tr>
        <w:tc>
          <w:tcPr>
            <w:tcW w:type="dxa" w:w="9746"/>
            <w:shd w:fill="F4F4F1" w:color="auto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5171A"/>
                <w:sz w:val="20"/>
                <w:szCs w:val="20"/>
              </w:rPr>
              <w:t xml:space="preserve">Die Finanzierungsanfrage in drei Sätzen</w:t>
            </w:r>
          </w:p>
          <w:p>
            <w:pPr>
              <w:spacing w:after="50" w:line="27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Rechnerisch braucht der Pilot im Basisszenario 502.299 € (maximaler kumulierter Kapitalbedarf 418.582 € in Monat 10, zuzüglich 20 % Sicherheitszuschlag).</w:t>
            </w:r>
          </w:p>
          <w:p>
            <w:pPr>
              <w:spacing w:after="50" w:line="27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Beantragt werden 750.000 €. Die Differenz ist kein Aufschlag, sondern der Puffer, der das Vorhaben auch dann volle 24 Monate trägt, wenn die Umsätze 45 % unter Plan liegen.</w:t>
            </w:r>
          </w:p>
          <w:p>
            <w:pPr>
              <w:spacing w:after="50" w:line="27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Die vollständige Herleitung steht in Kapitel 8 und im Blatt „Szenarien“ des Finanzmodells.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E4452B" w:sz="6" w:space="7"/>
        </w:pBdr>
        <w:spacing w:after="60" w:before="380"/>
      </w:pPr>
      <w:r>
        <w:rPr>
          <w:rFonts w:ascii="Arial" w:cs="Arial" w:eastAsia="Arial" w:hAnsi="Arial"/>
          <w:b/>
          <w:bCs/>
          <w:color w:val="15171A"/>
          <w:sz w:val="30"/>
          <w:szCs w:val="30"/>
        </w:rPr>
        <w:t xml:space="preserve">2. Finanzierungsanfrage</w:t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Gegenstand der Finanzierung ist der Aufbau und der 24-monatige Betrieb des Pilotstandorts Heidelberg. Nicht Gegenstand ist die Franchise-Expansion; sie setzt eine eigene Runde nach validiertem Pilot voraus.</w:t>
      </w:r>
    </w:p>
    <w:p>
      <w:pPr>
        <w:pStyle w:val="Heading3"/>
        <w:spacing w:after="30" w:before="180"/>
      </w:pPr>
      <w:r>
        <w:rPr>
          <w:rFonts w:ascii="Arial" w:cs="Arial" w:eastAsia="Arial" w:hAnsi="Arial"/>
          <w:b/>
          <w:bCs/>
          <w:color w:val="7A7F85"/>
          <w:sz w:val="20"/>
          <w:szCs w:val="20"/>
        </w:rPr>
        <w:t xml:space="preserve">2.1 Mittelverwendung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924"/>
        <w:gridCol w:w="1267"/>
        <w:gridCol w:w="975"/>
        <w:gridCol w:w="4580"/>
      </w:tblGrid>
      <w:tr>
        <w:trPr>
          <w:tblHeader/>
        </w:trPr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Verwendung</w:t>
            </w:r>
          </w:p>
        </w:tc>
        <w:tc>
          <w:tcPr>
            <w:tcW w:type="dxa" w:w="126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Betrag</w:t>
            </w:r>
          </w:p>
        </w:tc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Anteil</w:t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Begründung</w:t>
            </w:r>
          </w:p>
        </w:tc>
      </w:tr>
      <w:tr>
        <w:trPr>
          <w:tblHeader w:val="false"/>
        </w:trPr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Personal – Deckungslücke über 24 Monate</w:t>
            </w:r>
          </w:p>
        </w:tc>
        <w:tc>
          <w:tcPr>
            <w:tcW w:type="dxa" w:w="126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268.000 €</w:t>
            </w:r>
          </w:p>
        </w:tc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35,7 %</w:t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Von 2 auf 10 Vollzeitstellen. Der größte und wichtigste Block: ohne Team kein Umsatz.</w:t>
            </w:r>
          </w:p>
        </w:tc>
      </w:tr>
      <w:tr>
        <w:trPr>
          <w:tblHeader w:val="false"/>
        </w:trPr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Ladenbau, Showroom und Lab-Infrastruktur</w:t>
            </w:r>
          </w:p>
        </w:tc>
        <w:tc>
          <w:tcPr>
            <w:tcW w:type="dxa" w:w="126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135.000 €</w:t>
            </w:r>
          </w:p>
        </w:tc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18,0 %</w:t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Einmalig. Fläche, Elektrik, Sicherheitszonen, Demo-Aufbauten, Möblierung.</w:t>
            </w:r>
          </w:p>
        </w:tc>
      </w:tr>
      <w:tr>
        <w:trPr>
          <w:tblHeader w:val="false"/>
        </w:trPr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Marke, Branding, Website, Launch-Marketing</w:t>
            </w:r>
          </w:p>
        </w:tc>
        <w:tc>
          <w:tcPr>
            <w:tcW w:type="dxa" w:w="126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105.000 €</w:t>
            </w:r>
          </w:p>
        </w:tc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14,0 %</w:t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Neues Markenbild, Website, Content, Launch-Kampagne, Messen und Demo Days.</w:t>
            </w:r>
          </w:p>
        </w:tc>
      </w:tr>
      <w:tr>
        <w:trPr>
          <w:tblHeader w:val="false"/>
        </w:trPr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Miete inkl. Kaution über 24 Monate</w:t>
            </w:r>
          </w:p>
        </w:tc>
        <w:tc>
          <w:tcPr>
            <w:tcW w:type="dxa" w:w="126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95.000 €</w:t>
            </w:r>
          </w:p>
        </w:tc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12,7 %</w:t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Ca. 400 m² in Heidelberg, drei Monatsmieten Kaution.</w:t>
            </w:r>
          </w:p>
        </w:tc>
      </w:tr>
      <w:tr>
        <w:trPr>
          <w:tblHeader w:val="false"/>
        </w:trPr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Robo-Lab-on-Tour-Modul</w:t>
            </w:r>
          </w:p>
        </w:tc>
        <w:tc>
          <w:tcPr>
            <w:tcW w:type="dxa" w:w="126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45.000 €</w:t>
            </w:r>
          </w:p>
        </w:tc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6,0 %</w:t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Fahrzeug, Demo-Kits, Sicherheitsmaterial. Erschließt Schulen, Kommunen und Fördermittel.</w:t>
            </w:r>
          </w:p>
        </w:tc>
      </w:tr>
      <w:tr>
        <w:trPr>
          <w:tblHeader w:val="false"/>
        </w:trPr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Technologie, Software, Lizenzen, Security</w:t>
            </w:r>
          </w:p>
        </w:tc>
        <w:tc>
          <w:tcPr>
            <w:tcW w:type="dxa" w:w="126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45.000 €</w:t>
            </w:r>
          </w:p>
        </w:tc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6,0 %</w:t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LLM-APIs, Automatisierungsplattform, CRM, Endgeräte, Security-Stack.</w:t>
            </w:r>
          </w:p>
        </w:tc>
      </w:tr>
      <w:tr>
        <w:trPr>
          <w:tblHeader w:val="false"/>
        </w:trPr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Recht, Versicherung, Datenschutz, Buchhaltung</w:t>
            </w:r>
          </w:p>
        </w:tc>
        <w:tc>
          <w:tcPr>
            <w:tcW w:type="dxa" w:w="126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32.000 €</w:t>
            </w:r>
          </w:p>
        </w:tc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4,3 %</w:t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Gesellschaftsrecht, Haftpflicht, DSGVO- und AI-Act-Compliance, Steuerberatung.</w:t>
            </w:r>
          </w:p>
        </w:tc>
      </w:tr>
      <w:tr>
        <w:trPr>
          <w:tblHeader w:val="false"/>
        </w:trPr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Liquiditätsreserve</w:t>
            </w:r>
          </w:p>
        </w:tc>
        <w:tc>
          <w:tcPr>
            <w:tcW w:type="dxa" w:w="126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25.000 €</w:t>
            </w:r>
          </w:p>
        </w:tc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3,3 %</w:t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Unvorhergesehenes. Bewusst klein gehalten.</w:t>
            </w:r>
          </w:p>
        </w:tc>
      </w:tr>
      <w:tr>
        <w:trPr>
          <w:tblHeader w:val="false"/>
        </w:trPr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Summe</w:t>
            </w:r>
          </w:p>
        </w:tc>
        <w:tc>
          <w:tcPr>
            <w:tcW w:type="dxa" w:w="126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750.000 €</w:t>
            </w:r>
          </w:p>
        </w:tc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100 %</w:t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Style w:val="Heading3"/>
        <w:spacing w:after="30" w:before="180"/>
      </w:pPr>
      <w:r>
        <w:rPr>
          <w:rFonts w:ascii="Arial" w:cs="Arial" w:eastAsia="Arial" w:hAnsi="Arial"/>
          <w:b/>
          <w:bCs/>
          <w:color w:val="7A7F85"/>
          <w:sz w:val="20"/>
          <w:szCs w:val="20"/>
        </w:rPr>
        <w:t xml:space="preserve">2.2 Mittelherkunft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119"/>
        <w:gridCol w:w="1170"/>
        <w:gridCol w:w="1364"/>
        <w:gridCol w:w="4093"/>
      </w:tblGrid>
      <w:tr>
        <w:trPr>
          <w:tblHeader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Quelle</w:t>
            </w:r>
          </w:p>
        </w:tc>
        <w:tc>
          <w:tcPr>
            <w:tcW w:type="dxa" w:w="117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Betrag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Art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Eigenkapital Gründer / dcyphr.® GmbH®</w:t>
            </w:r>
          </w:p>
        </w:tc>
        <w:tc>
          <w:tcPr>
            <w:tcW w:type="dxa" w:w="117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80.000 €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Eigenkapital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Eigenmittel und eingebrachte Vorleistungen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Business Angels / Seed-Beteiligung</w:t>
            </w:r>
          </w:p>
        </w:tc>
        <w:tc>
          <w:tcPr>
            <w:tcW w:type="dxa" w:w="117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270.000 €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Eigenkapital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Anzusprechen, Regionalnetzwerk Rhein-Neckar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Start-up BW Pre-Seed (Land Baden-Württemberg)</w:t>
            </w:r>
          </w:p>
        </w:tc>
        <w:tc>
          <w:tcPr>
            <w:tcW w:type="dxa" w:w="117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160.000 €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Beteiligung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Zu beantragen; Land beteiligt sich mit bis zu 80 % bei mind. 20 % privatem Co-Investment, max. 200.000 € je Start-up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L-Bank / KfW Betriebsmittel- und Gründerkredit</w:t>
            </w:r>
          </w:p>
        </w:tc>
        <w:tc>
          <w:tcPr>
            <w:tcW w:type="dxa" w:w="117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180.000 €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Fremdkapital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Zu beantragen im Hausbankverfahren; Bürgschaft der Bürgschaftsbank BW bis 80 % möglich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Förder-, Programm- und Sponsoringmittel Bildung</w:t>
            </w:r>
          </w:p>
        </w:tc>
        <w:tc>
          <w:tcPr>
            <w:tcW w:type="dxa" w:w="117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60.000 €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Zuschuss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Projektbezogen; kommunale Bildungsbudgets, CSR, Innovationsgutscheine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Summe</w:t>
            </w:r>
          </w:p>
        </w:tc>
        <w:tc>
          <w:tcPr>
            <w:tcW w:type="dxa" w:w="1170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750.000 €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10" w:line="28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Wichtig für die Bewertung: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Kein Förderbaustein ist zugesagt. Die Struktur zeigt, wie das Vorhaben finanzierbar ist, nicht wie es finanziert ist. Ein Ausfall des Pre-Seed-Bausteins wäre über eine höhere Angel-Tranche oder eine Streckung des Personalaufbaus kompensierbar.</w:t>
      </w:r>
    </w:p>
    <w:p>
      <w:r>
        <w:br w:type="page"/>
      </w:r>
    </w:p>
    <w:p>
      <w:pPr>
        <w:pStyle w:val="Heading1"/>
        <w:pBdr>
          <w:bottom w:val="single" w:color="E4452B" w:sz="6" w:space="7"/>
        </w:pBdr>
        <w:spacing w:after="60" w:before="380"/>
      </w:pPr>
      <w:r>
        <w:rPr>
          <w:rFonts w:ascii="Arial" w:cs="Arial" w:eastAsia="Arial" w:hAnsi="Arial"/>
          <w:b/>
          <w:bCs/>
          <w:color w:val="15171A"/>
          <w:sz w:val="30"/>
          <w:szCs w:val="30"/>
        </w:rPr>
        <w:t xml:space="preserve">3. Marktchance</w:t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Die Marktargumentation stützt sich auf drei belegte Beobachtungen: Der Robotikmarkt ist groß und reif, der Markt für AI Agents wächst sehr schnell, und zwischen beiden klafft in Deutschland eine Umsetzungslücke, die niemand physisch bedient.</w:t>
      </w:r>
    </w:p>
    <w:p>
      <w:pPr>
        <w:pStyle w:val="Heading3"/>
        <w:spacing w:after="30" w:before="180"/>
      </w:pPr>
      <w:r>
        <w:rPr>
          <w:rFonts w:ascii="Arial" w:cs="Arial" w:eastAsia="Arial" w:hAnsi="Arial"/>
          <w:b/>
          <w:bCs/>
          <w:color w:val="7A7F85"/>
          <w:sz w:val="20"/>
          <w:szCs w:val="20"/>
        </w:rPr>
        <w:t xml:space="preserve">3.1 Robotik: großer, reifer Markt mit verlagertem Wachstum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924"/>
        <w:gridCol w:w="3898"/>
        <w:gridCol w:w="2924"/>
      </w:tblGrid>
      <w:tr>
        <w:trPr>
          <w:tblHeader/>
        </w:trPr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Kennzahl</w:t>
            </w:r>
          </w:p>
        </w:tc>
        <w:tc>
          <w:tcPr>
            <w:tcW w:type="dxa" w:w="389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Wert</w:t>
            </w:r>
          </w:p>
        </w:tc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Quelle</w:t>
            </w:r>
          </w:p>
        </w:tc>
      </w:tr>
      <w:tr>
        <w:trPr>
          <w:tblHeader w:val="false"/>
        </w:trPr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Industrieroboter weltweit installiert 2024</w:t>
            </w:r>
          </w:p>
        </w:tc>
        <w:tc>
          <w:tcPr>
            <w:tcW w:type="dxa" w:w="389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542.076 Stück, viertes Jahr in Folge über 500.000</w:t>
            </w:r>
          </w:p>
        </w:tc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IFR, World Robotics 2025</w:t>
            </w:r>
          </w:p>
        </w:tc>
      </w:tr>
      <w:tr>
        <w:trPr>
          <w:tblHeader w:val="false"/>
        </w:trPr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Installationen Deutschland 2024</w:t>
            </w:r>
          </w:p>
        </w:tc>
        <w:tc>
          <w:tcPr>
            <w:tcW w:type="dxa" w:w="389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26.982 Stück (−5 %), 32 % Marktanteil in Europa</w:t>
            </w:r>
          </w:p>
        </w:tc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IFR, World Robotics 2025</w:t>
            </w:r>
          </w:p>
        </w:tc>
      </w:tr>
      <w:tr>
        <w:trPr>
          <w:tblHeader w:val="false"/>
        </w:trPr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Roboterdichte Deutschland</w:t>
            </w:r>
          </w:p>
        </w:tc>
        <w:tc>
          <w:tcPr>
            <w:tcW w:type="dxa" w:w="389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449 je 10.000 Beschäftigte, Platz 3 weltweit, +5 % p. a. seit 2019</w:t>
            </w:r>
          </w:p>
        </w:tc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IFR, World Robotics 2025</w:t>
            </w:r>
          </w:p>
        </w:tc>
      </w:tr>
      <w:tr>
        <w:trPr>
          <w:tblHeader w:val="false"/>
        </w:trPr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Stellung Deutschlands</w:t>
            </w:r>
          </w:p>
        </w:tc>
        <w:tc>
          <w:tcPr>
            <w:tcW w:type="dxa" w:w="389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Größter Robotikmarkt Europas, fünftgrößter weltweit</w:t>
            </w:r>
          </w:p>
        </w:tc>
        <w:tc>
          <w:tcPr>
            <w:tcW w:type="dxa" w:w="292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Germany Trade &amp; Invest</w:t>
            </w:r>
          </w:p>
        </w:tc>
      </w:tr>
    </w:tbl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Die Lesart ist wichtig: Der deutsche Markt wächst nicht mehr über Großkonzerne. Er wächst über Mittelstand, Handwerk, Healthcare, Logistik und Kommunen – also über Kundengruppen, die einen Roboter erst sehen und anfassen müssen, bevor sie ihn kaufen. Genau diese Gruppe hat heute keinen Anlaufpunkt.</w:t>
      </w:r>
    </w:p>
    <w:p>
      <w:pPr>
        <w:pStyle w:val="Heading3"/>
        <w:spacing w:after="30" w:before="180"/>
      </w:pPr>
      <w:r>
        <w:rPr>
          <w:rFonts w:ascii="Arial" w:cs="Arial" w:eastAsia="Arial" w:hAnsi="Arial"/>
          <w:b/>
          <w:bCs/>
          <w:color w:val="7A7F85"/>
          <w:sz w:val="20"/>
          <w:szCs w:val="20"/>
        </w:rPr>
        <w:t xml:space="preserve">3.2 AI Agents: der schnell wachsende Teil</w:t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Der globale Markt für AI Agents wird für 2026 auf rund 10,9 bis 12,1 Mrd. USD geschätzt, mit erwarteten jährlichen Wachstumsraten von 44 bis 46 % bis 2030. Die Schätzungen verschiedener Analysehäuser gehen deutlich auseinander, weil der Begriff unterschiedlich abgegrenzt wird – die Wachstumsrichtung ist aber übereinstimmend.</w:t>
      </w:r>
    </w:p>
    <w:p>
      <w:pPr>
        <w:pStyle w:val="Heading3"/>
        <w:spacing w:after="30" w:before="180"/>
      </w:pPr>
      <w:r>
        <w:rPr>
          <w:rFonts w:ascii="Arial" w:cs="Arial" w:eastAsia="Arial" w:hAnsi="Arial"/>
          <w:b/>
          <w:bCs/>
          <w:color w:val="7A7F85"/>
          <w:sz w:val="20"/>
          <w:szCs w:val="20"/>
        </w:rPr>
        <w:t xml:space="preserve">3.3 Die Umsetzungslücke – der eigentliche Markt von ROBANTIS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314"/>
        <w:gridCol w:w="2339"/>
        <w:gridCol w:w="4093"/>
      </w:tblGrid>
      <w:tr>
        <w:trPr>
          <w:tblHeader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Befund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Wert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Was daraus folgt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Unternehmen mit aktivem KI-Einsatz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41 % (2024: 17 %)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Die Nachfrage ist real und hat sich binnen eines Jahres mehr als verdoppelt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Unternehmen, die planen oder diskutieren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48 %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Fast die Hälfte des Marktes steht unentschlossen vor der Tür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Unternehmen mit formaler KI-Strategie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21 %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Vier von fünf Anwendern arbeiten ohne Plan – das ist der Beratungsmarkt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Unternehmen: KI teurer als erwartet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33 %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Der Bedarf verschiebt sich von Begeisterung zu Wirtschaftlichkeit und Governance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Industrie: sieht sich als KI-Nachzügler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46 %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Selbst wahrgenommener Rückstand erzeugt Handlungsdruck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Industrie: KI wettbewerbsentscheidend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78 %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Relevanz unbestritten, Umsetzung ungelöst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Industrie: höhere Investitionen 2026 geplant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27 % (50 % konstant, 20 % geringer)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Budgets vorhanden, aber Nutzennachweis erforderlich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Industrie: humanoide Roboter gegen Fachkräftemangel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58 %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Direkter Anknüpfungspunkt für Showroom und Herstellerpartner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Schaden durch Diebstahl, Spionage, Sabotage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289,2 Mrd. € p. a., 87 % betroffen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Cybersecurity ist eine eigenständige, zahlungsbereite Programmsäule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MINT-Fachkräftelücke Deutschland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133.900 Personen, bis 2034 −138.600 Beschäftigte</w:t>
            </w:r>
          </w:p>
        </w:tc>
        <w:tc>
          <w:tcPr>
            <w:tcW w:type="dxa" w:w="409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Bildungssäule adressiert einen bezifferten volkswirtschaftlichen Engpass</w:t>
            </w:r>
          </w:p>
        </w:tc>
      </w:tr>
    </w:tbl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Style w:val="Heading3"/>
        <w:spacing w:after="30" w:before="180"/>
      </w:pPr>
      <w:r>
        <w:rPr>
          <w:rFonts w:ascii="Arial" w:cs="Arial" w:eastAsia="Arial" w:hAnsi="Arial"/>
          <w:b/>
          <w:bCs/>
          <w:color w:val="7A7F85"/>
          <w:sz w:val="20"/>
          <w:szCs w:val="20"/>
        </w:rPr>
        <w:t xml:space="preserve">3.4 Einzugsgebiet</w:t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Die Metropolregion Rhein-Neckar zählt 2,4 Mio. Einwohner und rund 160.000 Unternehmen, hat 22 Hochschulen und eine mehr als doppelt so hohe Forschungsbeschäftigung wie der Bundesdurchschnitt. 15 Stadt- und Landkreise mit 290 Kommunen arbeiten seit 2006 in einem institutionalisierten Public-Private-Partnership-Modell zusammen. Das ist ein außergewöhnlich dichtes Umfeld für ein Modell, das genau von der Nähe dieser Akteure lebt.</w:t>
      </w:r>
    </w:p>
    <w:p>
      <w:r>
        <w:br w:type="page"/>
      </w:r>
    </w:p>
    <w:p>
      <w:pPr>
        <w:pStyle w:val="Heading1"/>
        <w:pBdr>
          <w:bottom w:val="single" w:color="E4452B" w:sz="6" w:space="7"/>
        </w:pBdr>
        <w:spacing w:after="60" w:before="380"/>
      </w:pPr>
      <w:r>
        <w:rPr>
          <w:rFonts w:ascii="Arial" w:cs="Arial" w:eastAsia="Arial" w:hAnsi="Arial"/>
          <w:b/>
          <w:bCs/>
          <w:color w:val="15171A"/>
          <w:sz w:val="30"/>
          <w:szCs w:val="30"/>
        </w:rPr>
        <w:t xml:space="preserve">4. Geschäftsmodell und Erlösströme</w:t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Elf Erlösströme in vier Gruppen. Die Reihenfolge ist bewusst: Was schnell Geld bringt, startet zuerst; was groß wird, braucht Vorlauf.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119"/>
        <w:gridCol w:w="1559"/>
        <w:gridCol w:w="1657"/>
        <w:gridCol w:w="1657"/>
        <w:gridCol w:w="1754"/>
      </w:tblGrid>
      <w:tr>
        <w:trPr>
          <w:tblHeader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Erlösstrom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Gruppe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Umsatz J1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Umsatz J2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Umsatz J3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AI Starter Setups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Sofort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40.836 €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109.752 €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208.080 €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Productivity Agent Setups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Sofort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29.670 €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97.680 €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180.000 €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Business Automation Sprints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Sofort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67.200 €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224.400 €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360.000 €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Department-Agent-Projekte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Projekt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30.000 €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119.000 €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228.000 €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Robo Lab PoCs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Projekt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36.000 €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126.000 €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264.000 €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B2B-Events &amp; Workshops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Academy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33.600 €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94.500 €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144.000 €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Education / Robo Lab on Tour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Public Impact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26.600 €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138.600 €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300.000 €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Kommunale / institutionelle Programme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Public Impact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12.000 €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64.000 €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180.000 €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Service-Retainer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Wiederkehrend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21.600 €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180.400 €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495.000 €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Hersteller- &amp; Flächenpartnerschaften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Wiederkehrend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18.000 €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90.000 €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220.000 €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Robotik-Sales / Partnerprovision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Projekt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30.000 €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122.000 €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280.000 €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Franchise / Lizenzierung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Skalierung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0 €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60.000 €</w:t>
            </w:r>
          </w:p>
        </w:tc>
      </w:tr>
      <w:tr>
        <w:trPr>
          <w:tblHeader w:val="false"/>
        </w:trPr>
        <w:tc>
          <w:tcPr>
            <w:tcW w:type="dxa" w:w="311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Gesamt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/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345.506 €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1.366.332 €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2.919.080 €</w:t>
            </w:r>
          </w:p>
        </w:tc>
      </w:tr>
    </w:tbl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tbl>
      <w:tblPr>
        <w:tblW w:type="dxa" w:w="9746"/>
        <w:tblBorders>
          <w:top w:val="none" w:color="FFFFFF" w:sz="0"/>
          <w:left w:val="single" w:color="E4452B" w:sz="12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9746"/>
      </w:tblGrid>
      <w:tr>
        <w:tc>
          <w:tcPr>
            <w:tcW w:type="dxa" w:w="9746"/>
            <w:shd w:fill="F4F4F1" w:color="auto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5171A"/>
                <w:sz w:val="20"/>
                <w:szCs w:val="20"/>
              </w:rPr>
              <w:t xml:space="preserve">Die drei Kennzahlen, auf die es ankommt</w:t>
            </w:r>
          </w:p>
          <w:p>
            <w:pPr>
              <w:spacing w:after="50" w:line="27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Wiederkehrender Umsatz: Service-Retainer und Partnerflächen wachsen von 11,5 % (J1) auf 24,5 % (J3) des Umsatzes. Ende Monat 24 liegt der jährlich wiederkehrende Umsatz (ARR) bei rund 398.400 €.</w:t>
            </w:r>
          </w:p>
          <w:p>
            <w:pPr>
              <w:spacing w:after="50" w:line="27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Public-Impact-Anteil: Bildung, Tour und kommunale Programme erwirtschaften 11–16 % des Umsatzes – und erzeugen zusätzlich die Zugänge, aus denen ein Teil der übrigen 85 % entsteht.</w:t>
            </w:r>
          </w:p>
          <w:p>
            <w:pPr>
              <w:spacing w:after="50" w:line="27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Kein Franchise vor Monat 25: Lizenzerlöse tauchen erst in Jahr 3 auf. Ein Modell, das Franchise-Erlöse in die Anlaufphase rechnet, ist nicht glaubwürdig.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E4452B" w:sz="6" w:space="7"/>
        </w:pBdr>
        <w:spacing w:after="60" w:before="380"/>
      </w:pPr>
      <w:r>
        <w:rPr>
          <w:rFonts w:ascii="Arial" w:cs="Arial" w:eastAsia="Arial" w:hAnsi="Arial"/>
          <w:b/>
          <w:bCs/>
          <w:color w:val="15171A"/>
          <w:sz w:val="30"/>
          <w:szCs w:val="30"/>
        </w:rPr>
        <w:t xml:space="preserve">5. Produktpakete und Preise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144"/>
        <w:gridCol w:w="2144"/>
        <w:gridCol w:w="1364"/>
        <w:gridCol w:w="4094"/>
      </w:tblGrid>
      <w:tr>
        <w:trPr>
          <w:tblHeader/>
        </w:trPr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Paket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Zielgruppe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Preis netto</w:t>
            </w:r>
          </w:p>
        </w:tc>
        <w:tc>
          <w:tcPr>
            <w:tcW w:type="dxa" w:w="409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Was der Kunde erhält</w:t>
            </w:r>
          </w:p>
        </w:tc>
      </w:tr>
      <w:tr>
        <w:trPr>
          <w:tblHeader w:val="false"/>
        </w:trPr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AI Starter Setup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Einzelpersonen, Selbstständige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249 €</w:t>
            </w:r>
          </w:p>
        </w:tc>
        <w:tc>
          <w:tcPr>
            <w:tcW w:type="dxa" w:w="409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 Agent, Vorlagen, Kurzanleitung, 1 Folgefrage inklusive</w:t>
            </w:r>
          </w:p>
        </w:tc>
      </w:tr>
      <w:tr>
        <w:trPr>
          <w:tblHeader w:val="false"/>
        </w:trPr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Productivity Agent Setup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Business Professionals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690 €</w:t>
            </w:r>
          </w:p>
        </w:tc>
        <w:tc>
          <w:tcPr>
            <w:tcW w:type="dxa" w:w="409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E-Mail, Kalender, Aufgaben, Handy-Shortcuts, Dokumentation</w:t>
            </w:r>
          </w:p>
        </w:tc>
      </w:tr>
      <w:tr>
        <w:trPr>
          <w:tblHeader w:val="false"/>
        </w:trPr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Business Automation Sprint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KMU und Teams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3.200 €</w:t>
            </w:r>
          </w:p>
        </w:tc>
        <w:tc>
          <w:tcPr>
            <w:tcW w:type="dxa" w:w="409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3–5 produktive Automationen, Human-in-the-loop-Design, Übergabedoku</w:t>
            </w:r>
          </w:p>
        </w:tc>
      </w:tr>
      <w:tr>
        <w:trPr>
          <w:tblHeader w:val="false"/>
        </w:trPr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Department Agent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Fachabteilungen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15.000 €</w:t>
            </w:r>
          </w:p>
        </w:tc>
        <w:tc>
          <w:tcPr>
            <w:tcW w:type="dxa" w:w="409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Agentenarchitektur, Integration, Teamtraining, Governance-Konzept</w:t>
            </w:r>
          </w:p>
        </w:tc>
      </w:tr>
      <w:tr>
        <w:trPr>
          <w:tblHeader w:val="false"/>
        </w:trPr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Robo Lab PoC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Industrie, Logistik, Healthcare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18.000 €</w:t>
            </w:r>
          </w:p>
        </w:tc>
        <w:tc>
          <w:tcPr>
            <w:tcW w:type="dxa" w:w="409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Machbarkeit, Testaufbau, ROI-Rechnung, Roadmap, Sicherheitsbetrachtung</w:t>
            </w:r>
          </w:p>
        </w:tc>
      </w:tr>
      <w:tr>
        <w:trPr>
          <w:tblHeader w:val="false"/>
        </w:trPr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Service-Retainer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B2B-Kunden und Hersteller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900 €/Monat</w:t>
            </w:r>
          </w:p>
        </w:tc>
        <w:tc>
          <w:tcPr>
            <w:tcW w:type="dxa" w:w="409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Updates, Support, Optimierung, Monitoring, Security-Review</w:t>
            </w:r>
          </w:p>
        </w:tc>
      </w:tr>
      <w:tr>
        <w:trPr>
          <w:tblHeader w:val="false"/>
        </w:trPr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Herstellerfläche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Robotikhersteller, Distributoren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1.000 €/Monat</w:t>
            </w:r>
          </w:p>
        </w:tc>
        <w:tc>
          <w:tcPr>
            <w:tcW w:type="dxa" w:w="409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Showroom-Präsenz, Demo Days, Leadweitergabe, Servicepoint-Anbindung</w:t>
            </w:r>
          </w:p>
        </w:tc>
      </w:tr>
      <w:tr>
        <w:trPr>
          <w:tblHeader w:val="false"/>
        </w:trPr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Education-/Tourtag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Schulen, Kitas, Kommunen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1.900 €</w:t>
            </w:r>
          </w:p>
        </w:tc>
        <w:tc>
          <w:tcPr>
            <w:tcW w:type="dxa" w:w="409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Halb- oder Ganztagsprogramm, Material, Nachbereitung für Lehrkräfte</w:t>
            </w:r>
          </w:p>
        </w:tc>
      </w:tr>
      <w:tr>
        <w:trPr>
          <w:tblHeader w:val="false"/>
        </w:trPr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Kommunales Programm</w:t>
            </w:r>
          </w:p>
        </w:tc>
        <w:tc>
          <w:tcPr>
            <w:tcW w:type="dxa" w:w="214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Kommunen, Institutionen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12.000 €</w:t>
            </w:r>
          </w:p>
        </w:tc>
        <w:tc>
          <w:tcPr>
            <w:tcW w:type="dxa" w:w="409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Jahresprogramm aus Bürgerabenden, Sprechstunden, Verwaltungs-Workshops</w:t>
            </w:r>
          </w:p>
        </w:tc>
      </w:tr>
    </w:tbl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Preise sind Startwerte für Jahr 1 und steigen im Modell in Jahr 2 moderat an. Der niedrige Einstiegspreis von 249 € ist strategisch: Er senkt die Hemmschwelle in einer Konjunkturphase, in der 20 % der Industrieunternehmen ihre Investitionen zurückfahren, und er füllt die Fläche mit Menschen, die später größere Aufträge auslösen.</w:t>
      </w:r>
    </w:p>
    <w:p>
      <w:pPr>
        <w:pStyle w:val="Heading1"/>
        <w:pBdr>
          <w:bottom w:val="single" w:color="E4452B" w:sz="6" w:space="7"/>
        </w:pBdr>
        <w:spacing w:after="60" w:before="380"/>
      </w:pPr>
      <w:r>
        <w:rPr>
          <w:rFonts w:ascii="Arial" w:cs="Arial" w:eastAsia="Arial" w:hAnsi="Arial"/>
          <w:b/>
          <w:bCs/>
          <w:color w:val="15171A"/>
          <w:sz w:val="30"/>
          <w:szCs w:val="30"/>
        </w:rPr>
        <w:t xml:space="preserve">6. Unit Economics</w:t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Deckungsbeitrag je Leistung, gerechnet mit direkten Stunden und Materialkosten. Diese Sicht ist bewusst getrennt vom Monatsmodell, in dem Personal vollständig als Fixkostenblock geführt wird.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729"/>
        <w:gridCol w:w="1462"/>
        <w:gridCol w:w="1852"/>
        <w:gridCol w:w="1949"/>
        <w:gridCol w:w="1754"/>
      </w:tblGrid>
      <w:tr>
        <w:trPr>
          <w:tblHeader/>
        </w:trPr>
        <w:tc>
          <w:tcPr>
            <w:tcW w:type="dxa" w:w="272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Leistung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Preis</w:t>
            </w:r>
          </w:p>
        </w:tc>
        <w:tc>
          <w:tcPr>
            <w:tcW w:type="dxa" w:w="185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Direkte Kosten</w:t>
            </w:r>
          </w:p>
        </w:tc>
        <w:tc>
          <w:tcPr>
            <w:tcW w:type="dxa" w:w="194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Deckungsbeitrag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DB-Marge</w:t>
            </w:r>
          </w:p>
        </w:tc>
      </w:tr>
      <w:tr>
        <w:trPr>
          <w:tblHeader w:val="false"/>
        </w:trPr>
        <w:tc>
          <w:tcPr>
            <w:tcW w:type="dxa" w:w="272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AI Starter Setup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249 €</w:t>
            </w:r>
          </w:p>
        </w:tc>
        <w:tc>
          <w:tcPr>
            <w:tcW w:type="dxa" w:w="185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90 €</w:t>
            </w:r>
          </w:p>
        </w:tc>
        <w:tc>
          <w:tcPr>
            <w:tcW w:type="dxa" w:w="194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159 €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63,9 %</w:t>
            </w:r>
          </w:p>
        </w:tc>
      </w:tr>
      <w:tr>
        <w:trPr>
          <w:tblHeader w:val="false"/>
        </w:trPr>
        <w:tc>
          <w:tcPr>
            <w:tcW w:type="dxa" w:w="272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Productivity Agent Setup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690 €</w:t>
            </w:r>
          </w:p>
        </w:tc>
        <w:tc>
          <w:tcPr>
            <w:tcW w:type="dxa" w:w="185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225 €</w:t>
            </w:r>
          </w:p>
        </w:tc>
        <w:tc>
          <w:tcPr>
            <w:tcW w:type="dxa" w:w="194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465 €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67,4 %</w:t>
            </w:r>
          </w:p>
        </w:tc>
      </w:tr>
      <w:tr>
        <w:trPr>
          <w:tblHeader w:val="false"/>
        </w:trPr>
        <w:tc>
          <w:tcPr>
            <w:tcW w:type="dxa" w:w="272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Business Automation Sprint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3.200 €</w:t>
            </w:r>
          </w:p>
        </w:tc>
        <w:tc>
          <w:tcPr>
            <w:tcW w:type="dxa" w:w="185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1.000 €</w:t>
            </w:r>
          </w:p>
        </w:tc>
        <w:tc>
          <w:tcPr>
            <w:tcW w:type="dxa" w:w="194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2.200 €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68,8 %</w:t>
            </w:r>
          </w:p>
        </w:tc>
      </w:tr>
      <w:tr>
        <w:trPr>
          <w:tblHeader w:val="false"/>
        </w:trPr>
        <w:tc>
          <w:tcPr>
            <w:tcW w:type="dxa" w:w="272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Department-Agent-Projekt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15.000 €</w:t>
            </w:r>
          </w:p>
        </w:tc>
        <w:tc>
          <w:tcPr>
            <w:tcW w:type="dxa" w:w="185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6.300 €</w:t>
            </w:r>
          </w:p>
        </w:tc>
        <w:tc>
          <w:tcPr>
            <w:tcW w:type="dxa" w:w="194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8.700 €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58,0 %</w:t>
            </w:r>
          </w:p>
        </w:tc>
      </w:tr>
      <w:tr>
        <w:trPr>
          <w:tblHeader w:val="false"/>
        </w:trPr>
        <w:tc>
          <w:tcPr>
            <w:tcW w:type="dxa" w:w="272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Robo Lab PoC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18.000 €</w:t>
            </w:r>
          </w:p>
        </w:tc>
        <w:tc>
          <w:tcPr>
            <w:tcW w:type="dxa" w:w="185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10.000 €</w:t>
            </w:r>
          </w:p>
        </w:tc>
        <w:tc>
          <w:tcPr>
            <w:tcW w:type="dxa" w:w="194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8.000 €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44,4 %</w:t>
            </w:r>
          </w:p>
        </w:tc>
      </w:tr>
      <w:tr>
        <w:trPr>
          <w:tblHeader w:val="false"/>
        </w:trPr>
        <w:tc>
          <w:tcPr>
            <w:tcW w:type="dxa" w:w="272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B2B-Event / Workshop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2.400 €</w:t>
            </w:r>
          </w:p>
        </w:tc>
        <w:tc>
          <w:tcPr>
            <w:tcW w:type="dxa" w:w="185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790 €</w:t>
            </w:r>
          </w:p>
        </w:tc>
        <w:tc>
          <w:tcPr>
            <w:tcW w:type="dxa" w:w="194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1.610 €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67,1 %</w:t>
            </w:r>
          </w:p>
        </w:tc>
      </w:tr>
      <w:tr>
        <w:trPr>
          <w:tblHeader w:val="false"/>
        </w:trPr>
        <w:tc>
          <w:tcPr>
            <w:tcW w:type="dxa" w:w="272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Education-/Tourtag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1.900 €</w:t>
            </w:r>
          </w:p>
        </w:tc>
        <w:tc>
          <w:tcPr>
            <w:tcW w:type="dxa" w:w="185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650 €</w:t>
            </w:r>
          </w:p>
        </w:tc>
        <w:tc>
          <w:tcPr>
            <w:tcW w:type="dxa" w:w="194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1.250 €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65,8 %</w:t>
            </w:r>
          </w:p>
        </w:tc>
      </w:tr>
      <w:tr>
        <w:trPr>
          <w:tblHeader w:val="false"/>
        </w:trPr>
        <w:tc>
          <w:tcPr>
            <w:tcW w:type="dxa" w:w="272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Kommunales Programm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12.000 €</w:t>
            </w:r>
          </w:p>
        </w:tc>
        <w:tc>
          <w:tcPr>
            <w:tcW w:type="dxa" w:w="185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5.000 €</w:t>
            </w:r>
          </w:p>
        </w:tc>
        <w:tc>
          <w:tcPr>
            <w:tcW w:type="dxa" w:w="194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7.000 €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58,3 %</w:t>
            </w:r>
          </w:p>
        </w:tc>
      </w:tr>
      <w:tr>
        <w:trPr>
          <w:tblHeader w:val="false"/>
        </w:trPr>
        <w:tc>
          <w:tcPr>
            <w:tcW w:type="dxa" w:w="272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Service-Retainer (je Monat)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900 €</w:t>
            </w:r>
          </w:p>
        </w:tc>
        <w:tc>
          <w:tcPr>
            <w:tcW w:type="dxa" w:w="185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220 €</w:t>
            </w:r>
          </w:p>
        </w:tc>
        <w:tc>
          <w:tcPr>
            <w:tcW w:type="dxa" w:w="194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680 €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75,6 %</w:t>
            </w:r>
          </w:p>
        </w:tc>
      </w:tr>
    </w:tbl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Style w:val="ListParagraph"/>
        <w:numPr>
          <w:ilvl w:val="0"/>
          <w:numId w:val="2"/>
        </w:numPr>
        <w:spacing w:after="60" w:line="27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Der Retainer ist die wertvollste Position: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75,6 % Deckungsbeitrag und wiederkehrend. Bei konservativ angenommenen 24 Monaten Laufzeit liegt der Lebenszeitwert bei 26.400 € je Vertrag, der Deckungsbeitrag über die Laufzeit bei 16.320 €.</w:t>
      </w:r>
    </w:p>
    <w:p>
      <w:pPr>
        <w:pStyle w:val="ListParagraph"/>
        <w:numPr>
          <w:ilvl w:val="0"/>
          <w:numId w:val="2"/>
        </w:numPr>
        <w:spacing w:after="60" w:line="27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Der PoC ist der schwächste, aber notwendige Beitrag: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44,4 % wegen Hardware- und Leasinganteil. Sein eigentlicher Wert liegt in der Anschlussrate zu Implementierung und Retainer.</w:t>
      </w:r>
    </w:p>
    <w:p>
      <w:pPr>
        <w:pStyle w:val="ListParagraph"/>
        <w:numPr>
          <w:ilvl w:val="0"/>
          <w:numId w:val="2"/>
        </w:numPr>
        <w:spacing w:after="60" w:line="27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Bildungsformate liegen bei rund 66 %: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höher, als die verbreitete Annahme „Bildung rechnet sich nicht“ nahelegt, weil sie standardisiert und mit Werkstudierenden geliefert werden.</w:t>
      </w:r>
    </w:p>
    <w:p>
      <w:r>
        <w:br w:type="page"/>
      </w:r>
    </w:p>
    <w:p>
      <w:pPr>
        <w:pStyle w:val="Heading1"/>
        <w:pBdr>
          <w:bottom w:val="single" w:color="E4452B" w:sz="6" w:space="7"/>
        </w:pBdr>
        <w:spacing w:after="60" w:before="380"/>
      </w:pPr>
      <w:r>
        <w:rPr>
          <w:rFonts w:ascii="Arial" w:cs="Arial" w:eastAsia="Arial" w:hAnsi="Arial"/>
          <w:b/>
          <w:bCs/>
          <w:color w:val="15171A"/>
          <w:sz w:val="30"/>
          <w:szCs w:val="30"/>
        </w:rPr>
        <w:t xml:space="preserve">7. Kostenstruktur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534"/>
        <w:gridCol w:w="1364"/>
        <w:gridCol w:w="1364"/>
        <w:gridCol w:w="1462"/>
        <w:gridCol w:w="3022"/>
      </w:tblGrid>
      <w:tr>
        <w:trPr>
          <w:tblHeader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Kostenblock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Jahr 1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Jahr 2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Jahr 3</w:t>
            </w:r>
          </w:p>
        </w:tc>
        <w:tc>
          <w:tcPr>
            <w:tcW w:type="dxa" w:w="302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Anmerkung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Personal (inkl. AG-Anteil)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275.400 €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594.000 €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1.180.000 €</w:t>
            </w:r>
          </w:p>
        </w:tc>
        <w:tc>
          <w:tcPr>
            <w:tcW w:type="dxa" w:w="302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 → 5,5 FTE in J1, 8 → 10 in J2, ca. 16 in J3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Miete &amp; Nebenkosten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56.000 €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72.000 €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108.000 €</w:t>
            </w:r>
          </w:p>
        </w:tc>
        <w:tc>
          <w:tcPr>
            <w:tcW w:type="dxa" w:w="302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Ca. 400 m², ab Monat 3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Demo-Robotik (Leasing/Konsignation)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31.500 €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66.000 €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145.000 €</w:t>
            </w:r>
          </w:p>
        </w:tc>
        <w:tc>
          <w:tcPr>
            <w:tcW w:type="dxa" w:w="302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Kein Eigenkauf – bewusste Kapitalschonung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Robo Lab on Tour (Betrieb)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7.500 €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45.600 €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95.000 €</w:t>
            </w:r>
          </w:p>
        </w:tc>
        <w:tc>
          <w:tcPr>
            <w:tcW w:type="dxa" w:w="302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Start Monat 8, zweites Modul ab J3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Marke, Branding, Marketing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64.500 €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72.000 €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135.000 €</w:t>
            </w:r>
          </w:p>
        </w:tc>
        <w:tc>
          <w:tcPr>
            <w:tcW w:type="dxa" w:w="302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Markenaufbau in Monat 1–3 vorgezogen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Technologie, Software, Security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27.000 €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45.600 €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78.000 €</w:t>
            </w:r>
          </w:p>
        </w:tc>
        <w:tc>
          <w:tcPr>
            <w:tcW w:type="dxa" w:w="302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LLM-APIs, Automatisierung, CRM, Security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Recht, Versicherung, Buchhaltung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23.400 €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31.200 €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48.000 €</w:t>
            </w:r>
          </w:p>
        </w:tc>
        <w:tc>
          <w:tcPr>
            <w:tcW w:type="dxa" w:w="302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Inkl. DSGVO- und AI-Act-Compliance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Puffer / Sonstiges (5 %)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24.265 €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46.320 €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72.000 €</w:t>
            </w:r>
          </w:p>
        </w:tc>
        <w:tc>
          <w:tcPr>
            <w:tcW w:type="dxa" w:w="302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Auf den übrigen OPEX gerechnet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Gesamtkosten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509.565 €</w:t>
            </w:r>
          </w:p>
        </w:tc>
        <w:tc>
          <w:tcPr>
            <w:tcW w:type="dxa" w:w="136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972.720 €</w:t>
            </w:r>
          </w:p>
        </w:tc>
        <w:tc>
          <w:tcPr>
            <w:tcW w:type="dxa" w:w="146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1.861.000 €</w:t>
            </w:r>
          </w:p>
        </w:tc>
        <w:tc>
          <w:tcPr>
            <w:tcW w:type="dxa" w:w="3022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/>
            </w:r>
          </w:p>
        </w:tc>
      </w:tr>
    </w:tbl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Einmalige Investitionen außerhalb dieser Tabelle: 135.000 € Ladenbau und Lab-Infrastruktur, 45.000 € Robo-Lab-on-Tour-Modul, 16.800 € Mietkaution. Zusammen 196.800 €, abgeschrieben über fünf Jahre (36.000 € p. a.).</w:t>
      </w:r>
    </w:p>
    <w:p>
      <w:pPr>
        <w:pStyle w:val="Heading1"/>
        <w:pBdr>
          <w:bottom w:val="single" w:color="E4452B" w:sz="6" w:space="7"/>
        </w:pBdr>
        <w:spacing w:after="60" w:before="380"/>
      </w:pPr>
      <w:r>
        <w:rPr>
          <w:rFonts w:ascii="Arial" w:cs="Arial" w:eastAsia="Arial" w:hAnsi="Arial"/>
          <w:b/>
          <w:bCs/>
          <w:color w:val="15171A"/>
          <w:sz w:val="30"/>
          <w:szCs w:val="30"/>
        </w:rPr>
        <w:t xml:space="preserve">8. Liquidität, Kapitalbedarf und Stresstest</w:t>
      </w:r>
    </w:p>
    <w:p>
      <w:pPr>
        <w:pStyle w:val="Heading3"/>
        <w:spacing w:after="30" w:before="180"/>
      </w:pPr>
      <w:r>
        <w:rPr>
          <w:rFonts w:ascii="Arial" w:cs="Arial" w:eastAsia="Arial" w:hAnsi="Arial"/>
          <w:b/>
          <w:bCs/>
          <w:color w:val="7A7F85"/>
          <w:sz w:val="20"/>
          <w:szCs w:val="20"/>
        </w:rPr>
        <w:t xml:space="preserve">8.1 Der Kapitalbedarf im Basisszenario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3314"/>
        <w:gridCol w:w="1754"/>
        <w:gridCol w:w="4678"/>
      </w:tblGrid>
      <w:tr>
        <w:trPr>
          <w:tblHeader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Kennzahl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Wert</w:t>
            </w:r>
          </w:p>
        </w:tc>
        <w:tc>
          <w:tcPr>
            <w:tcW w:type="dxa" w:w="467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Bedeutung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Maximaler kumulierter Kapitalbedarf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418.582 €</w:t>
            </w:r>
          </w:p>
        </w:tc>
        <w:tc>
          <w:tcPr>
            <w:tcW w:type="dxa" w:w="467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Tiefpunkt der Liquiditätslinie, erreicht in Monat 10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Sicherheitszuschlag 20 %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83.716 €</w:t>
            </w:r>
          </w:p>
        </w:tc>
        <w:tc>
          <w:tcPr>
            <w:tcW w:type="dxa" w:w="467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Für Zeitverzug und Working-Capital-Schwankungen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Rechnerischer Kapitalbedarf Base Case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502.299 €</w:t>
            </w:r>
          </w:p>
        </w:tc>
        <w:tc>
          <w:tcPr>
            <w:tcW w:type="dxa" w:w="467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Was der Pilot im Planszenario mindestens braucht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Erstes positives EBITDA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Monat 11</w:t>
            </w:r>
          </w:p>
        </w:tc>
        <w:tc>
          <w:tcPr>
            <w:tcW w:type="dxa" w:w="467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Erstmals positiv, aber projektbedingt schwankend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Dauerhaft positives EBITDA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Monat 14</w:t>
            </w:r>
          </w:p>
        </w:tc>
        <w:tc>
          <w:tcPr>
            <w:tcW w:type="dxa" w:w="467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Ab hier bleibt jeder Folgemonat positiv – der belastbare Break-even</w:t>
            </w:r>
          </w:p>
        </w:tc>
      </w:tr>
      <w:tr>
        <w:trPr>
          <w:tblHeader w:val="false"/>
        </w:trPr>
        <w:tc>
          <w:tcPr>
            <w:tcW w:type="dxa" w:w="331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Kumulierter Cash-Break-even</w:t>
            </w:r>
          </w:p>
        </w:tc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kurz nach Monat 24</w:t>
            </w:r>
          </w:p>
        </w:tc>
        <w:tc>
          <w:tcPr>
            <w:tcW w:type="dxa" w:w="467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Rückzahlung der Anlaufinvestition am Ende des Finanzierungszeitraums</w:t>
            </w:r>
          </w:p>
        </w:tc>
      </w:tr>
    </w:tbl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Style w:val="Heading3"/>
        <w:spacing w:after="30" w:before="180"/>
      </w:pPr>
      <w:r>
        <w:rPr>
          <w:rFonts w:ascii="Arial" w:cs="Arial" w:eastAsia="Arial" w:hAnsi="Arial"/>
          <w:b/>
          <w:bCs/>
          <w:color w:val="7A7F85"/>
          <w:sz w:val="20"/>
          <w:szCs w:val="20"/>
        </w:rPr>
        <w:t xml:space="preserve">8.2 Der Stresstest: trägt die Finanzierung wirklich 24 Monate?</w:t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Der Downside-Fall unterstellt 45 % weniger Umsatz als geplant bei gleichzeitig gezogener Kostenbremse (−6 % Kosten). Das entspricht einem Szenario, in dem der Vertrieb spät greift und die Konjunktur schwach bleibt.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754"/>
        <w:gridCol w:w="1559"/>
        <w:gridCol w:w="1657"/>
        <w:gridCol w:w="1559"/>
        <w:gridCol w:w="1559"/>
        <w:gridCol w:w="1658"/>
      </w:tblGrid>
      <w:tr>
        <w:trPr>
          <w:tblHeader/>
        </w:trPr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Szenario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Umsatz J1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Umsatz J2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EBITDA J1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EBITDA J2</w:t>
            </w:r>
          </w:p>
        </w:tc>
        <w:tc>
          <w:tcPr>
            <w:tcW w:type="dxa" w:w="165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Kumuliert 24 M</w:t>
            </w:r>
          </w:p>
        </w:tc>
      </w:tr>
      <w:tr>
        <w:trPr>
          <w:tblHeader w:val="false"/>
        </w:trPr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Downside (55 %)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190.028 €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751.483 €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−288.963 €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−162.874 €</w:t>
            </w:r>
          </w:p>
        </w:tc>
        <w:tc>
          <w:tcPr>
            <w:tcW w:type="dxa" w:w="165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−451.837 €</w:t>
            </w:r>
          </w:p>
        </w:tc>
      </w:tr>
      <w:tr>
        <w:trPr>
          <w:tblHeader w:val="false"/>
        </w:trPr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Base (100 %)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345.506 €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1.366.332 €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−164.059 €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393.612 €</w:t>
            </w:r>
          </w:p>
        </w:tc>
        <w:tc>
          <w:tcPr>
            <w:tcW w:type="dxa" w:w="165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A1A1A"/>
                <w:sz w:val="18"/>
                <w:szCs w:val="18"/>
              </w:rPr>
              <w:t xml:space="preserve">229.553 €</w:t>
            </w:r>
          </w:p>
        </w:tc>
      </w:tr>
      <w:tr>
        <w:trPr>
          <w:tblHeader w:val="false"/>
        </w:trPr>
        <w:tc>
          <w:tcPr>
            <w:tcW w:type="dxa" w:w="175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Upside (135 %)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466.433 €</w:t>
            </w:r>
          </w:p>
        </w:tc>
        <w:tc>
          <w:tcPr>
            <w:tcW w:type="dxa" w:w="1657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1.844.548 €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−104.280 €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755.102 €</w:t>
            </w:r>
          </w:p>
        </w:tc>
        <w:tc>
          <w:tcPr>
            <w:tcW w:type="dxa" w:w="165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650.822 €</w:t>
            </w:r>
          </w:p>
        </w:tc>
      </w:tr>
    </w:tbl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tbl>
      <w:tblPr>
        <w:tblW w:type="dxa" w:w="9746"/>
        <w:tblBorders>
          <w:top w:val="none" w:color="FFFFFF" w:sz="0"/>
          <w:left w:val="single" w:color="E4452B" w:sz="12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9746"/>
      </w:tblGrid>
      <w:tr>
        <w:tc>
          <w:tcPr>
            <w:tcW w:type="dxa" w:w="9746"/>
            <w:shd w:fill="F4F4F1" w:color="auto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5171A"/>
                <w:sz w:val="20"/>
                <w:szCs w:val="20"/>
              </w:rPr>
              <w:t xml:space="preserve">Ergebnis des Stresstests</w:t>
            </w:r>
          </w:p>
          <w:p>
            <w:pPr>
              <w:spacing w:after="50" w:line="27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Kapitalbedarf im Downside-Fall: 196.800 € Investitionen plus 451.837 € kumulierter operativer Verlust = 648.637 €.</w:t>
            </w:r>
          </w:p>
          <w:p>
            <w:pPr>
              <w:spacing w:after="50" w:line="27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Beantragter Rahmen: 750.000 €. Verbleibende Reserve am Ende von Monat 24 im Downside: 101.363 €.</w:t>
            </w:r>
          </w:p>
          <w:p>
            <w:pPr>
              <w:spacing w:after="50" w:line="27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19"/>
                <w:szCs w:val="19"/>
              </w:rPr>
              <w:t xml:space="preserve">Das ist die eigentliche Aussage der Anfrage: Selbst bei 45 % Zielverfehlung ist der Pilot volle 24 Monate handlungsfähig, ohne Anschlussfinanzierung und ohne Notverkauf.</w:t>
            </w:r>
          </w:p>
        </w:tc>
      </w:tr>
    </w:tbl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Style w:val="Heading3"/>
        <w:spacing w:after="30" w:before="180"/>
      </w:pPr>
      <w:r>
        <w:rPr>
          <w:rFonts w:ascii="Arial" w:cs="Arial" w:eastAsia="Arial" w:hAnsi="Arial"/>
          <w:b/>
          <w:bCs/>
          <w:color w:val="7A7F85"/>
          <w:sz w:val="20"/>
          <w:szCs w:val="20"/>
        </w:rPr>
        <w:t xml:space="preserve">8.3 Eine Einordnung zur Höhe der Anfrage</w:t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Der gesamte Fixkostenblock aus Personal, Miete, Marketing, Technologie und Recht summiert sich über 24 Monate auf 1.261.100 €. Die Finanzierung von 750.000 € deckt davon 59,5 %; den Rest tragen die laufenden Umsätze.</w:t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Es wäre möglich, stattdessen den vollen Fixkostenblock zu finanzieren. Davon wird bewusst abgesehen: Eine Anfrage, die den eigenen Umsatzplan vollständig ignoriert, signalisiert, dass das Team ihm selbst nicht traut – und sie ist in dieser Größenordnung für einen Pilotstandort kaum darstellbar. Der gewählte Rahmen finanziert das Vorhaben durch, ohne den Umsatzplan zu leugnen.</w:t>
      </w:r>
    </w:p>
    <w:p>
      <w:r>
        <w:br w:type="page"/>
      </w:r>
    </w:p>
    <w:p>
      <w:pPr>
        <w:pStyle w:val="Heading1"/>
        <w:pBdr>
          <w:bottom w:val="single" w:color="E4452B" w:sz="6" w:space="7"/>
        </w:pBdr>
        <w:spacing w:after="60" w:before="380"/>
      </w:pPr>
      <w:r>
        <w:rPr>
          <w:rFonts w:ascii="Arial" w:cs="Arial" w:eastAsia="Arial" w:hAnsi="Arial"/>
          <w:b/>
          <w:bCs/>
          <w:color w:val="15171A"/>
          <w:sz w:val="30"/>
          <w:szCs w:val="30"/>
        </w:rPr>
        <w:t xml:space="preserve">9. Go-to-Market und Meilensteine</w:t>
      </w:r>
    </w:p>
    <w:p>
      <w:pPr>
        <w:pStyle w:val="Heading3"/>
        <w:spacing w:after="30" w:before="180"/>
      </w:pPr>
      <w:r>
        <w:rPr>
          <w:rFonts w:ascii="Arial" w:cs="Arial" w:eastAsia="Arial" w:hAnsi="Arial"/>
          <w:b/>
          <w:bCs/>
          <w:color w:val="7A7F85"/>
          <w:sz w:val="20"/>
          <w:szCs w:val="20"/>
        </w:rPr>
        <w:t xml:space="preserve">9.1 Markteintritt</w:t>
      </w:r>
    </w:p>
    <w:p>
      <w:pPr>
        <w:pStyle w:val="ListParagraph"/>
        <w:numPr>
          <w:ilvl w:val="0"/>
          <w:numId w:val="3"/>
        </w:numPr>
        <w:spacing w:after="70" w:line="27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Ein Versprechen, das man in einem Satz weitergeben kann: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„Bring deinen Laptop. Geh mit deinem ersten AI Agent nach Hause.“ 249 € Einstiegspreis, kein Beratungsvorlauf, sichtbares Ergebnis am selben Tag.</w:t>
      </w:r>
    </w:p>
    <w:p>
      <w:pPr>
        <w:pStyle w:val="ListParagraph"/>
        <w:numPr>
          <w:ilvl w:val="0"/>
          <w:numId w:val="3"/>
        </w:numPr>
        <w:spacing w:after="70" w:line="27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Demo Days mit Herstellern statt Kaltakquise: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Der Hersteller bringt Gerät und Fachpublikum, ROBANTIS bringt Fläche, Moderation und regionale Reichweite. Beide Seiten teilen die Leads.</w:t>
      </w:r>
    </w:p>
    <w:p>
      <w:pPr>
        <w:pStyle w:val="ListParagraph"/>
        <w:numPr>
          <w:ilvl w:val="0"/>
          <w:numId w:val="3"/>
        </w:numPr>
        <w:spacing w:after="70" w:line="27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Bildung und Bürgerdialog als Vertriebskanal: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Jeder Projekttag erreicht Familien, jeder Bürgerabend erreicht Entscheider:innen aus dem Mittelstand. Die Quote der B2B-Leads, die aus diesen Formaten stammen, wird ab Monat 4 gemessen.</w:t>
      </w:r>
    </w:p>
    <w:p>
      <w:pPr>
        <w:pStyle w:val="ListParagraph"/>
        <w:numPr>
          <w:ilvl w:val="0"/>
          <w:numId w:val="3"/>
        </w:numPr>
        <w:spacing w:after="70" w:line="27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Kommunen zuerst, dann deren Netzwerk: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Eine Kommune, die ein Jahresprogramm bucht, öffnet Schulen, Vereine, Wirtschaftsförderung und Verwaltung gleichzeitig.</w:t>
      </w:r>
    </w:p>
    <w:p>
      <w:pPr>
        <w:pStyle w:val="Heading3"/>
        <w:spacing w:after="30" w:before="180"/>
      </w:pPr>
      <w:r>
        <w:rPr>
          <w:rFonts w:ascii="Arial" w:cs="Arial" w:eastAsia="Arial" w:hAnsi="Arial"/>
          <w:b/>
          <w:bCs/>
          <w:color w:val="7A7F85"/>
          <w:sz w:val="20"/>
          <w:szCs w:val="20"/>
        </w:rPr>
        <w:t xml:space="preserve">9.2 Meilensteine der 24 Monate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975"/>
        <w:gridCol w:w="4483"/>
        <w:gridCol w:w="4288"/>
      </w:tblGrid>
      <w:tr>
        <w:trPr>
          <w:tblHeader/>
        </w:trPr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Monat</w:t>
            </w:r>
          </w:p>
        </w:tc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Meilenstein</w:t>
            </w:r>
          </w:p>
        </w:tc>
        <w:tc>
          <w:tcPr>
            <w:tcW w:type="dxa" w:w="428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Nachweis</w:t>
            </w:r>
          </w:p>
        </w:tc>
      </w:tr>
      <w:tr>
        <w:trPr>
          <w:tblHeader w:val="false"/>
        </w:trPr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1–3</w:t>
            </w:r>
          </w:p>
        </w:tc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Fläche gesichert, Marke und Website live, Team auf 2 FTE, erste zwei Herstellervereinbarungen</w:t>
            </w:r>
          </w:p>
        </w:tc>
        <w:tc>
          <w:tcPr>
            <w:tcW w:type="dxa" w:w="428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Mietvertrag, Markenauftritt, unterzeichnete Absichtserklärungen</w:t>
            </w:r>
          </w:p>
        </w:tc>
      </w:tr>
      <w:tr>
        <w:trPr>
          <w:tblHeader w:val="false"/>
        </w:trPr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4–6</w:t>
            </w:r>
          </w:p>
        </w:tc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AI Agent Bar im Betrieb, erste 30 zahlende Kund:innen, erster offener Abend, erster Automation Sprint</w:t>
            </w:r>
          </w:p>
        </w:tc>
        <w:tc>
          <w:tcPr>
            <w:tcW w:type="dxa" w:w="428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Umsatz aus Setups, Teilnehmerzahlen, Kundenreferenzen</w:t>
            </w:r>
          </w:p>
        </w:tc>
      </w:tr>
      <w:tr>
        <w:trPr>
          <w:tblHeader w:val="false"/>
        </w:trPr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7–9</w:t>
            </w:r>
          </w:p>
        </w:tc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Robo Lab und Servicepoint in Betrieb, erster PoC verkauft, Robo Lab on Tour startet, erste Schulklassen</w:t>
            </w:r>
          </w:p>
        </w:tc>
        <w:tc>
          <w:tcPr>
            <w:tcW w:type="dxa" w:w="428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PoC-Auftrag, Tourtage, erreichte Schüler:innen</w:t>
            </w:r>
          </w:p>
        </w:tc>
      </w:tr>
      <w:tr>
        <w:trPr>
          <w:tblHeader w:val="false"/>
        </w:trPr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10–12</w:t>
            </w:r>
          </w:p>
        </w:tc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Erste Retainer-Basis (6 Verträge), erstes kommunales Programm, erste Hochschulkooperation</w:t>
            </w:r>
          </w:p>
        </w:tc>
        <w:tc>
          <w:tcPr>
            <w:tcW w:type="dxa" w:w="428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Retainer-Bestand, Rahmenvereinbarung, Kooperationsvertrag</w:t>
            </w:r>
          </w:p>
        </w:tc>
      </w:tr>
      <w:tr>
        <w:trPr>
          <w:tblHeader w:val="false"/>
        </w:trPr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13–18</w:t>
            </w:r>
          </w:p>
        </w:tc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Dauerhaft positives EBITDA, Team auf 8 FTE, Cybersecurity-Reihe etabliert, 3 Herstellerflächen belegt</w:t>
            </w:r>
          </w:p>
        </w:tc>
        <w:tc>
          <w:tcPr>
            <w:tcW w:type="dxa" w:w="428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Monatsabschlüsse, Flächenverträge</w:t>
            </w:r>
          </w:p>
        </w:tc>
      </w:tr>
      <w:tr>
        <w:trPr>
          <w:tblHeader w:val="false"/>
        </w:trPr>
        <w:tc>
          <w:tcPr>
            <w:tcW w:type="dxa" w:w="975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19–24</w:t>
            </w:r>
          </w:p>
        </w:tc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22 Retainer, 6 Flächenpartner, ARR rund 398.400 €, Franchise-Handbuch fertig</w:t>
            </w:r>
          </w:p>
        </w:tc>
        <w:tc>
          <w:tcPr>
            <w:tcW w:type="dxa" w:w="428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ARR-Nachweis, Playbook, Standortkonzept für Standort 2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E4452B" w:sz="6" w:space="7"/>
        </w:pBdr>
        <w:spacing w:after="60" w:before="380"/>
      </w:pPr>
      <w:r>
        <w:rPr>
          <w:rFonts w:ascii="Arial" w:cs="Arial" w:eastAsia="Arial" w:hAnsi="Arial"/>
          <w:b/>
          <w:bCs/>
          <w:color w:val="15171A"/>
          <w:sz w:val="30"/>
          <w:szCs w:val="30"/>
        </w:rPr>
        <w:t xml:space="preserve">10. Team und Personalaufbau</w:t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Der Personalaufbau ist der größte Kostenblock und die wichtigste Stellschraube. Er ist bewusst an den Umsatz gekoppelt, nicht an den Plan.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59"/>
        <w:gridCol w:w="1559"/>
        <w:gridCol w:w="6628"/>
      </w:tblGrid>
      <w:tr>
        <w:trPr>
          <w:tblHeader/>
        </w:trPr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Zeitraum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Vollzeitstellen</w:t>
            </w:r>
          </w:p>
        </w:tc>
        <w:tc>
          <w:tcPr>
            <w:tcW w:type="dxa" w:w="662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Besetzung</w:t>
            </w:r>
          </w:p>
        </w:tc>
      </w:tr>
      <w:tr>
        <w:trPr>
          <w:tblHeader w:val="false"/>
        </w:trPr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Monat 1–3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2,0</w:t>
            </w:r>
          </w:p>
        </w:tc>
        <w:tc>
          <w:tcPr>
            <w:tcW w:type="dxa" w:w="662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Geschäftsführung; Automation Engineer (AI Agents, Workflows)</w:t>
            </w:r>
          </w:p>
        </w:tc>
      </w:tr>
      <w:tr>
        <w:trPr>
          <w:tblHeader w:val="false"/>
        </w:trPr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Monat 4–6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4,0</w:t>
            </w:r>
          </w:p>
        </w:tc>
        <w:tc>
          <w:tcPr>
            <w:tcW w:type="dxa" w:w="662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+ Partner- und Vertriebsmanagement; Education &amp; Community Lead (0,5); Werkstudierende (0,5)</w:t>
            </w:r>
          </w:p>
        </w:tc>
      </w:tr>
      <w:tr>
        <w:trPr>
          <w:tblHeader w:val="false"/>
        </w:trPr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Monat 7–12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5,5</w:t>
            </w:r>
          </w:p>
        </w:tc>
        <w:tc>
          <w:tcPr>
            <w:tcW w:type="dxa" w:w="662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+ Robotics Solution Engineer; Backoffice und Auftragsabwicklung (0,5)</w:t>
            </w:r>
          </w:p>
        </w:tc>
      </w:tr>
      <w:tr>
        <w:trPr>
          <w:tblHeader w:val="false"/>
        </w:trPr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Monat 13–18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8,0</w:t>
            </w:r>
          </w:p>
        </w:tc>
        <w:tc>
          <w:tcPr>
            <w:tcW w:type="dxa" w:w="662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+ zweiter Automation Engineer; Education Lead auf Vollzeit; weitere Werkstudierende</w:t>
            </w:r>
          </w:p>
        </w:tc>
      </w:tr>
      <w:tr>
        <w:trPr>
          <w:tblHeader w:val="false"/>
        </w:trPr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Monat 19–24</w:t>
            </w:r>
          </w:p>
        </w:tc>
        <w:tc>
          <w:tcPr>
            <w:tcW w:type="dxa" w:w="155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10,0</w:t>
            </w:r>
          </w:p>
        </w:tc>
        <w:tc>
          <w:tcPr>
            <w:tcW w:type="dxa" w:w="6628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+ Servicetechnik; Tour-Lead für das mobile Modul</w:t>
            </w:r>
          </w:p>
        </w:tc>
      </w:tr>
    </w:tbl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Kalkuliert mit durchschnittlich 5.400 € (Jahr 1) bzw. 5.500 € (Jahr 2) je Vollzeitstelle und Monat inklusive Arbeitgeberanteil. Das ist ein Mischwert über Geschäftsführung, Ingenieurprofile, Bildungspersonal und Werkstudierende und ersetzt keinen Einzelgehaltsplan.</w:t>
      </w:r>
    </w:p>
    <w:p>
      <w:pPr>
        <w:pStyle w:val="Heading3"/>
        <w:spacing w:after="30" w:before="180"/>
      </w:pPr>
      <w:r>
        <w:rPr>
          <w:rFonts w:ascii="Arial" w:cs="Arial" w:eastAsia="Arial" w:hAnsi="Arial"/>
          <w:b/>
          <w:bCs/>
          <w:color w:val="7A7F85"/>
          <w:sz w:val="20"/>
          <w:szCs w:val="20"/>
        </w:rPr>
        <w:t xml:space="preserve">Was das Team können muss und heute noch nicht abgedeckt ist</w:t>
      </w:r>
    </w:p>
    <w:p>
      <w:pPr>
        <w:pStyle w:val="ListParagraph"/>
        <w:numPr>
          <w:ilvl w:val="0"/>
          <w:numId w:val="2"/>
        </w:numPr>
        <w:spacing w:after="60" w:line="2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Robotik-Integration und Maschinensicherheit auf Ingenieurniveau – vorgesehen ab Monat 7, bis dahin über Hersteller- und Partnerkapazität.</w:t>
      </w:r>
    </w:p>
    <w:p>
      <w:pPr>
        <w:pStyle w:val="ListParagraph"/>
        <w:numPr>
          <w:ilvl w:val="0"/>
          <w:numId w:val="2"/>
        </w:numPr>
        <w:spacing w:after="60" w:line="2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Pädagogische Qualifikation für Schulformate – vorgesehen über den Education Lead ab Monat 4, unterstützt durch Kooperation mit Bildungsträgern.</w:t>
      </w:r>
    </w:p>
    <w:p>
      <w:pPr>
        <w:pStyle w:val="ListParagraph"/>
        <w:numPr>
          <w:ilvl w:val="0"/>
          <w:numId w:val="2"/>
        </w:numPr>
        <w:spacing w:after="60" w:line="27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Kommunale Vergabe- und Förderpraxis – im ersten Jahr über externe Beratung, danach intern aufzubauen.</w:t>
      </w:r>
    </w:p>
    <w:p>
      <w:pPr>
        <w:pStyle w:val="Heading1"/>
        <w:pBdr>
          <w:bottom w:val="single" w:color="E4452B" w:sz="6" w:space="7"/>
        </w:pBdr>
        <w:spacing w:after="60" w:before="380"/>
      </w:pPr>
      <w:r>
        <w:rPr>
          <w:rFonts w:ascii="Arial" w:cs="Arial" w:eastAsia="Arial" w:hAnsi="Arial"/>
          <w:b/>
          <w:bCs/>
          <w:color w:val="15171A"/>
          <w:sz w:val="30"/>
          <w:szCs w:val="30"/>
        </w:rPr>
        <w:t xml:space="preserve">11. Risiken und Gegenmaßnahmen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534"/>
        <w:gridCol w:w="2339"/>
        <w:gridCol w:w="4873"/>
      </w:tblGrid>
      <w:tr>
        <w:trPr>
          <w:tblHeader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Risiko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Einschätzung</w:t>
            </w:r>
          </w:p>
        </w:tc>
        <w:tc>
          <w:tcPr>
            <w:tcW w:type="dxa" w:w="487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Gegenmaßnahme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Zu breite Positionierung, fünf Zielgruppen ohne Fokus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Hoch. Häufigster Grund für das Scheitern vergleichbarer Center.</w:t>
            </w:r>
          </w:p>
        </w:tc>
        <w:tc>
          <w:tcPr>
            <w:tcW w:type="dxa" w:w="487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Start mit drei Leistungen. Bildung und Bürgerdialog erst ab Phase 2 mit gedeckelter Kapazität. Public Impact bleibt bei rund 15 % des Umsatzes.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Umsatz kommt später als geplant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Mittel bis hoch. Erste Aufträge sind schwer terminierbar.</w:t>
            </w:r>
          </w:p>
        </w:tc>
        <w:tc>
          <w:tcPr>
            <w:tcW w:type="dxa" w:w="487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750.000 € statt der rechnerisch nötigen 502.299 €. Der Downside-Test zeigt 24 Monate Reichweite bei 45 % Zielverfehlung.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Kapitalbindung durch Robotikbestand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Gering, weil bewusst vermieden.</w:t>
            </w:r>
          </w:p>
        </w:tc>
        <w:tc>
          <w:tcPr>
            <w:tcW w:type="dxa" w:w="487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Konsignation, Leasing und Provision statt Eigenkauf. Warenrisiko bleibt beim Hersteller.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Abhängigkeit von einzelnen Herstellerpartnern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Mittel.</w:t>
            </w:r>
          </w:p>
        </w:tc>
        <w:tc>
          <w:tcPr>
            <w:tcW w:type="dxa" w:w="487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Mindestens drei Herstellerbeziehungen bis Monat 12; kein Exklusivvertrag über die gesamte Fläche.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Schwache Konjunktur, zurückhaltende Investitionen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Mittel. 20 % der Industrie plant 2026 geringere Investitionen.</w:t>
            </w:r>
          </w:p>
        </w:tc>
        <w:tc>
          <w:tcPr>
            <w:tcW w:type="dxa" w:w="487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Einstiegspreis 249 €. Das Modell gewinnt auch in Zurückhaltungsphasen kleine Aufträge und baut daraus Pipeline.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Regulatorik: EU-KI-Verordnung, DSGVO, Maschinenrecht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Mittel, aber steuerbar.</w:t>
            </w:r>
          </w:p>
        </w:tc>
        <w:tc>
          <w:tcPr>
            <w:tcW w:type="dxa" w:w="487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Compliance ist Bestandteil jedes Angebots. Hochrisiko-Anwendungen werden benannt und ggf. abgelehnt. Externe Rechtsberatung im Kostenplan enthalten.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Personalabhängigkeit von wenigen Schlüsselpersonen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Hoch in Jahr 1.</w:t>
            </w:r>
          </w:p>
        </w:tc>
        <w:tc>
          <w:tcPr>
            <w:tcW w:type="dxa" w:w="487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Dokumentierte Playbooks ab Monat 3, damit Leistungen übergabefähig sind. Werkstudierende als Nachwuchspipeline.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Interessenkonflikt zwischen Verkauf und Aufklärung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Nicht auflösbar, nur beherrschbar.</w:t>
            </w:r>
          </w:p>
        </w:tc>
        <w:tc>
          <w:tcPr>
            <w:tcW w:type="dxa" w:w="487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Herstellerneutralität offener Formate, keine Leadverwertung aus Bürgersprechstunden, öffentliche Wirkungsberichte.</w:t>
            </w:r>
          </w:p>
        </w:tc>
      </w:tr>
      <w:tr>
        <w:trPr>
          <w:tblHeader w:val="false"/>
        </w:trPr>
        <w:tc>
          <w:tcPr>
            <w:tcW w:type="dxa" w:w="2534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Akzeptanz- und Reputationsrisiken</w:t>
            </w:r>
          </w:p>
        </w:tc>
        <w:tc>
          <w:tcPr>
            <w:tcW w:type="dxa" w:w="2339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Gering bis mittel.</w:t>
            </w:r>
          </w:p>
        </w:tc>
        <w:tc>
          <w:tcPr>
            <w:tcW w:type="dxa" w:w="487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Moderierte Formate, in denen Kritik ausdrücklich stattfindet, statt Kommunikation, die sie vermeidet.</w:t>
            </w:r>
          </w:p>
        </w:tc>
      </w:tr>
    </w:tbl>
    <w:p>
      <w:pPr>
        <w:pStyle w:val="Heading1"/>
        <w:pBdr>
          <w:bottom w:val="single" w:color="E4452B" w:sz="6" w:space="7"/>
        </w:pBdr>
        <w:spacing w:after="60" w:before="380"/>
      </w:pPr>
      <w:r>
        <w:rPr>
          <w:rFonts w:ascii="Arial" w:cs="Arial" w:eastAsia="Arial" w:hAnsi="Arial"/>
          <w:b/>
          <w:bCs/>
          <w:color w:val="15171A"/>
          <w:sz w:val="30"/>
          <w:szCs w:val="30"/>
        </w:rPr>
        <w:t xml:space="preserve">12. Rechtlicher Rahmen</w:t>
      </w:r>
    </w:p>
    <w:p>
      <w:pPr>
        <w:pStyle w:val="ListParagraph"/>
        <w:numPr>
          <w:ilvl w:val="0"/>
          <w:numId w:val="2"/>
        </w:numPr>
        <w:spacing w:after="60" w:line="27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EU-KI-Verordnung: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Seit dem 2. August 2026 überwacht die Bundesnetzagentur die Einhaltung in Deutschland. Für ROBANTIS relevant sind vor allem Transparenzpflichten sowie die Einordnung von Kundenanwendungen – insbesondere im Personalbereich, der als Hochrisikoanwendung gilt. Jedes Projekt erhält eine dokumentierte Einordnung.</w:t>
      </w:r>
    </w:p>
    <w:p>
      <w:pPr>
        <w:pStyle w:val="ListParagraph"/>
        <w:numPr>
          <w:ilvl w:val="0"/>
          <w:numId w:val="2"/>
        </w:numPr>
        <w:spacing w:after="60" w:line="27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Datenschutz: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Setups an Kundengeräten berühren personenbezogene Daten. Erforderlich sind Auftragsverarbeitungsverträge, dokumentierte Datenflüsse, Löschkonzepte und Rollenrechte – standardisiert als Teil jedes Pakets.</w:t>
      </w:r>
    </w:p>
    <w:p>
      <w:pPr>
        <w:pStyle w:val="ListParagraph"/>
        <w:numPr>
          <w:ilvl w:val="0"/>
          <w:numId w:val="2"/>
        </w:numPr>
        <w:spacing w:after="60" w:line="27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Maschinen- und Produktsicherheit: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Showroom, Robo Lab und mobile Einsätze erfordern Gefährdungsbeurteilungen, Schutzeinrichtungen, Unterweisungen und eine passende Betriebshaftpflicht. Besonders relevant bei Publikumsverkehr und Minderjährigen.</w:t>
      </w:r>
    </w:p>
    <w:p>
      <w:pPr>
        <w:pStyle w:val="ListParagraph"/>
        <w:numPr>
          <w:ilvl w:val="0"/>
          <w:numId w:val="2"/>
        </w:numPr>
        <w:spacing w:after="60" w:line="27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Minderjährige in Bildungsformaten: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Aufsichtskonzept, Einwilligungen, Bild- und Datenschutzregeln sowie erweiterte Führungszeugnisse für das Bildungspersonal.</w:t>
      </w:r>
    </w:p>
    <w:p>
      <w:pPr>
        <w:pStyle w:val="ListParagraph"/>
        <w:numPr>
          <w:ilvl w:val="0"/>
          <w:numId w:val="2"/>
        </w:numPr>
        <w:spacing w:after="60" w:line="27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0"/>
          <w:szCs w:val="20"/>
        </w:rPr>
        <w:t xml:space="preserve">Kein Anlageangebot: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Dieses Dokument ist ein Businessplan. Es ist weder ein Prospekt noch ein Angebot zur Zeichnung von Anteilen und begründet keine Ansprüche.</w:t>
      </w:r>
    </w:p>
    <w:p>
      <w:pPr>
        <w:pStyle w:val="Heading1"/>
        <w:pBdr>
          <w:bottom w:val="single" w:color="E4452B" w:sz="6" w:space="7"/>
        </w:pBdr>
        <w:spacing w:after="60" w:before="380"/>
      </w:pPr>
      <w:r>
        <w:rPr>
          <w:rFonts w:ascii="Arial" w:cs="Arial" w:eastAsia="Arial" w:hAnsi="Arial"/>
          <w:b/>
          <w:bCs/>
          <w:color w:val="15171A"/>
          <w:sz w:val="30"/>
          <w:szCs w:val="30"/>
        </w:rPr>
        <w:t xml:space="preserve">13. Quellen</w:t>
      </w:r>
    </w:p>
    <w:tbl>
      <w:tblPr>
        <w:tblW w:type="dxa" w:w="974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483"/>
        <w:gridCol w:w="5263"/>
      </w:tblGrid>
      <w:tr>
        <w:trPr>
          <w:tblHeader/>
        </w:trPr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Aussage</w:t>
            </w:r>
          </w:p>
        </w:tc>
        <w:tc>
          <w:tcPr>
            <w:tcW w:type="dxa" w:w="526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15171A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Quelle</w:t>
            </w:r>
          </w:p>
        </w:tc>
      </w:tr>
      <w:tr>
        <w:trPr>
          <w:tblHeader w:val="false"/>
        </w:trPr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542.076 Industrieroboter weltweit 2024; Deutschland 26.982; Roboterdichte 449 je 10.000 Beschäftigte</w:t>
            </w:r>
          </w:p>
        </w:tc>
        <w:tc>
          <w:tcPr>
            <w:tcW w:type="dxa" w:w="526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IFR, World Robotics 2025 — ifr.org/ifr-press-releases/news/global-robot-demand-in-factories-doubles-over-10-years</w:t>
            </w:r>
          </w:p>
        </w:tc>
      </w:tr>
      <w:tr>
        <w:trPr>
          <w:tblHeader w:val="false"/>
        </w:trPr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41 % aktive KI-Nutzung, 48 % planen, 21 % mit Strategie, 33 % höhere Kosten als erwartet</w:t>
            </w:r>
          </w:p>
        </w:tc>
        <w:tc>
          <w:tcPr>
            <w:tcW w:type="dxa" w:w="526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Bitkom, KI-Studie 2026 (604 Unternehmen ab 20 Beschäftigten) — bitkom.org</w:t>
            </w:r>
          </w:p>
        </w:tc>
      </w:tr>
      <w:tr>
        <w:trPr>
          <w:tblHeader w:val="false"/>
        </w:trPr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46 % Nachzügler, 78 % Wettbewerbsrelevanz, 27 % höhere Investitionen, 58 % humanoide Roboter gegen Fachkräftemangel</w:t>
            </w:r>
          </w:p>
        </w:tc>
        <w:tc>
          <w:tcPr>
            <w:tcW w:type="dxa" w:w="526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Bitkom Research, „Humanoide Roboter, KI &amp; Co.“, April 2026 — bitkom.org</w:t>
            </w:r>
          </w:p>
        </w:tc>
      </w:tr>
      <w:tr>
        <w:trPr>
          <w:tblHeader w:val="false"/>
        </w:trPr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289,2 Mrd. € Schaden, 87 % der Unternehmen betroffen</w:t>
            </w:r>
          </w:p>
        </w:tc>
        <w:tc>
          <w:tcPr>
            <w:tcW w:type="dxa" w:w="526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Bitkom, Wirtschaftsschutz 2025 — bitkom.org</w:t>
            </w:r>
          </w:p>
        </w:tc>
      </w:tr>
      <w:tr>
        <w:trPr>
          <w:tblHeader w:val="false"/>
        </w:trPr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MINT-Lücke 133.900 Personen; bis 2034 −138.600 Beschäftigte</w:t>
            </w:r>
          </w:p>
        </w:tc>
        <w:tc>
          <w:tcPr>
            <w:tcW w:type="dxa" w:w="526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IW Köln, MINT-Frühjahrsreport 2026 — iwkoeln.de</w:t>
            </w:r>
          </w:p>
        </w:tc>
      </w:tr>
      <w:tr>
        <w:trPr>
          <w:tblHeader w:val="false"/>
        </w:trPr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AI-Agents-Markt 2026 ca. 10,9–12,1 Mrd. USD, CAGR 44–46 % bis 2030</w:t>
            </w:r>
          </w:p>
        </w:tc>
        <w:tc>
          <w:tcPr>
            <w:tcW w:type="dxa" w:w="526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Grand View Research; Research and Markets, 2026</w:t>
            </w:r>
          </w:p>
        </w:tc>
      </w:tr>
      <w:tr>
        <w:trPr>
          <w:tblHeader w:val="false"/>
        </w:trPr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Deutschland größter Robotikmarkt Europas, fünftgrößter weltweit</w:t>
            </w:r>
          </w:p>
        </w:tc>
        <w:tc>
          <w:tcPr>
            <w:tcW w:type="dxa" w:w="526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Germany Trade &amp; Invest — gtai.de</w:t>
            </w:r>
          </w:p>
        </w:tc>
      </w:tr>
      <w:tr>
        <w:trPr>
          <w:tblHeader w:val="false"/>
        </w:trPr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2,4 Mio. Einwohner, ca. 160.000 Unternehmen, 22 Hochschulen</w:t>
            </w:r>
          </w:p>
        </w:tc>
        <w:tc>
          <w:tcPr>
            <w:tcW w:type="dxa" w:w="526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Metropolregion Rhein-Neckar — m-r-n.com/zahlen-und-fakten</w:t>
            </w:r>
          </w:p>
        </w:tc>
      </w:tr>
      <w:tr>
        <w:trPr>
          <w:tblHeader w:val="false"/>
        </w:trPr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Start-up BW Pre-Seed: bis 80 % Landesbeteiligung, max. 200.000 €</w:t>
            </w:r>
          </w:p>
        </w:tc>
        <w:tc>
          <w:tcPr>
            <w:tcW w:type="dxa" w:w="526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L-Bank Baden-Württemberg — l-bank.de</w:t>
            </w:r>
          </w:p>
        </w:tc>
      </w:tr>
      <w:tr>
        <w:trPr>
          <w:tblHeader w:val="false"/>
        </w:trPr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Terra Robotics als offizieller UBTECH-Distributor DACH</w:t>
            </w:r>
          </w:p>
        </w:tc>
        <w:tc>
          <w:tcPr>
            <w:tcW w:type="dxa" w:w="526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4F4F1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terra-robotics.de</w:t>
            </w:r>
          </w:p>
        </w:tc>
      </w:tr>
      <w:tr>
        <w:trPr>
          <w:tblHeader w:val="false"/>
        </w:trPr>
        <w:tc>
          <w:tcPr>
            <w:tcW w:type="dxa" w:w="448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n8n als Plattform für Workflow-Automatisierung</w:t>
            </w:r>
          </w:p>
        </w:tc>
        <w:tc>
          <w:tcPr>
            <w:tcW w:type="dxa" w:w="5263"/>
            <w:tcBorders>
              <w:top w:val="none" w:color="FFFFFF" w:sz="0"/>
              <w:left w:val="none" w:color="FFFFFF" w:sz="0"/>
              <w:bottom w:val="single" w:color="E2E2DE" w:sz="4"/>
              <w:right w:val="none" w:color="FFFFFF" w:sz="0"/>
            </w:tcBorders>
            <w:shd w:fill="FFFFFF" w:color="auto" w:val="clear"/>
            <w:tcMar>
              <w:top w:type="dxa" w:w="90"/>
              <w:left w:type="dxa" w:w="130"/>
              <w:bottom w:type="dxa" w:w="90"/>
              <w:right w:type="dxa" w:w="13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A1A1A"/>
                <w:sz w:val="18"/>
                <w:szCs w:val="18"/>
              </w:rPr>
              <w:t xml:space="preserve">n8n.io</w:t>
            </w:r>
          </w:p>
        </w:tc>
      </w:tr>
    </w:tbl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Bdr>
          <w:bottom w:val="single" w:color="E2E2DE" w:sz="6" w:space="2"/>
        </w:pBdr>
        <w:spacing w:after="120" w:before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10" w:line="2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7A7F85"/>
          <w:sz w:val="16"/>
          <w:szCs w:val="16"/>
        </w:rPr>
        <w:t xml:space="preserve">ROBANTIS Heidelberg · Robotic &amp; AI Center · Ein Projekt der dcyphr.® GmbH · Businessplan Version 4 · August 2026. Sämtliche Finanzwerte sind Planungsannahmen aus dem Modell ROBANTIS_Finanzplan_v4.xlsx. Sie stellen keine Prognose, keine Garantie und kein Angebot zur Zeichnung von Anteilen dar.</w:t>
      </w:r>
    </w:p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2DE" w:sz="4" w:space="6"/>
      </w:pBdr>
      <w:jc w:val="right"/>
    </w:pPr>
    <w:r>
      <w:rPr>
        <w:rFonts w:ascii="Arial" w:cs="Arial" w:eastAsia="Arial" w:hAnsi="Arial"/>
        <w:color w:val="7A7F85"/>
        <w:sz w:val="15"/>
        <w:szCs w:val="15"/>
      </w:rPr>
      <w:t xml:space="preserve">ROBANTIS Heidelberg · Businessplan v4 · Seite   </w:t>
    </w:r>
    <w:r>
      <w:rPr>
        <w:rFonts w:ascii="Arial" w:cs="Arial" w:eastAsia="Arial" w:hAnsi="Arial"/>
        <w:b/>
        <w:bCs/>
        <w:color w:val="15171A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40" w:hanging="200"/>
      </w:pPr>
      <w:rPr>
        <w:rFonts w:ascii="Arial" w:cs="Arial" w:eastAsia="Arial" w:hAnsi="Arial"/>
        <w:b/>
        <w:bCs/>
        <w:color w:val="E4452B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40"/>
      </w:pPr>
      <w:rPr>
        <w:rFonts w:ascii="Arial" w:cs="Arial" w:eastAsia="Arial" w:hAnsi="Arial"/>
        <w:b/>
        <w:bCs/>
        <w:color w:val="E4452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bbda72e2cf749ddeaa5258204bbba20c2c362c7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2026-08-23T14:44:04.111Z</dcterms:created>
  <dcterms:modified xsi:type="dcterms:W3CDTF">2026-08-23T14:44:04.111Z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